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0901" w14:textId="77777777" w:rsidR="00AE37FB" w:rsidRDefault="00AE37FB"/>
    <w:p w14:paraId="6EED0CA1" w14:textId="77777777" w:rsidR="00B610A2" w:rsidRDefault="00B610A2"/>
    <w:p w14:paraId="170A6F35" w14:textId="77777777" w:rsidR="00AE37FB" w:rsidRDefault="003A3C84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032077" wp14:editId="5401543D">
                <wp:simplePos x="0" y="0"/>
                <wp:positionH relativeFrom="column">
                  <wp:posOffset>-558800</wp:posOffset>
                </wp:positionH>
                <wp:positionV relativeFrom="paragraph">
                  <wp:posOffset>8229600</wp:posOffset>
                </wp:positionV>
                <wp:extent cx="3438525" cy="1495425"/>
                <wp:effectExtent l="0" t="0" r="0" b="0"/>
                <wp:wrapSquare wrapText="bothSides"/>
                <wp:docPr id="1214909418" name="Rectangles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8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836CB" w14:textId="77777777" w:rsidR="009352B1" w:rsidRDefault="009352B1"/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5032077" id="Rectangles 588" o:spid="_x0000_s1026" style="position:absolute;margin-left:-44pt;margin-top:9in;width:270.75pt;height:117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Ba2AEAAKwDAAAOAAAAZHJzL2Uyb0RvYy54bWysU8Fu2zAMvQ/YPwi6L07SZGiNOMXQIsOA&#10;bivQ7QNkWY6FyaJGKrG7rx8lp2mw3Yb5IOiJ1BPfI725HXsnjgbJgq/kYjaXwngNjfX7Sn7/tnt3&#10;LQVF5RvlwJtKPhuSt9u3bzZDKM0SOnCNQcEknsohVLKLMZRFQbozvaIZBOM52AL2KjLEfdGgGpi9&#10;d8VyPn9fDIBNQNCGiE/vp6DcZv62NTp+bVsyUbhKcm0xr5jXOq3FdqPKParQWX0qQ/1DFb2ynh89&#10;U92rqMQB7V9UvdUIBG2caegLaFurTdbAahbzP9Q8dSqYrIXNoXC2if4frf5yfAqPmEqn8AD6B7Ej&#10;xRCoPEcSIM4R9fAZGu6hOkTIYscW+3STZYgxe/p89tSMUWg+vFpdXa+Xayk0xxarm/WKQXpDlS/X&#10;A1L8aKAXaVNJ5KZlenV8oDilvqTkOsHZZmedywD39Z1DcVTc4F3+Tux0meZ8SvaQrk2M6STrTNLS&#10;uFAZx3rkYNrW0DyzYoRpYHjAedMB/pJi4GGpJP08KDRSuE+eu3GzSKpEvAR4CepLoLxmqkrqiFJM&#10;4C5OM3kIaPcdv7XIDnj4wF63NrvwWtepch6J7ONpfNPMXeKc9fqTbX8DAAD//wMAUEsDBBQABgAI&#10;AAAAIQDjzrZA4wAAAA0BAAAPAAAAZHJzL2Rvd25yZXYueG1sTI/NTsMwEITvSLyDtUhcUOu0IVWa&#10;xqkQEqr4ObSBB3DjbRIRr0PstOHtWU5w290ZzX6TbyfbiTMOvnWkYDGPQCBVzrRUK/h4f5qlIHzQ&#10;ZHTnCBV8o4dtcX2V68y4Cx3wXIZacAj5TCtoQugzKX3VoNV+7nok1k5usDrwOtTSDPrC4baTyyha&#10;Satb4g+N7vGxweqzHK0COkT+9Wv3nMhx/1Ku33Ts7vY7pW5vpocNiIBT+DPDLz6jQ8FMRzeS8aJT&#10;MEtT7hJYWK5XPLHlPokTEEc+JfEiAVnk8n+L4gcAAP//AwBQSwECLQAUAAYACAAAACEAtoM4kv4A&#10;AADhAQAAEwAAAAAAAAAAAAAAAAAAAAAAW0NvbnRlbnRfVHlwZXNdLnhtbFBLAQItABQABgAIAAAA&#10;IQA4/SH/1gAAAJQBAAALAAAAAAAAAAAAAAAAAC8BAABfcmVscy8ucmVsc1BLAQItABQABgAIAAAA&#10;IQDEI9Ba2AEAAKwDAAAOAAAAAAAAAAAAAAAAAC4CAABkcnMvZTJvRG9jLnhtbFBLAQItABQABgAI&#10;AAAAIQDjzrZA4wAAAA0BAAAPAAAAAAAAAAAAAAAAADIEAABkcnMvZG93bnJldi54bWxQSwUGAAAA&#10;AAQABADzAAAAQgUAAAAA&#10;" stroked="f">
                <v:path arrowok="t"/>
                <v:textbox inset="2.53958mm,2.53958mm,2.53958mm,2.53958mm">
                  <w:txbxContent>
                    <w:p w14:paraId="161836CB" w14:textId="77777777" w:rsidR="009352B1" w:rsidRDefault="009352B1"/>
                  </w:txbxContent>
                </v:textbox>
                <w10:wrap type="square"/>
              </v:rect>
            </w:pict>
          </mc:Fallback>
        </mc:AlternateContent>
      </w:r>
    </w:p>
    <w:p w14:paraId="0658FB54" w14:textId="77777777" w:rsidR="00AE37FB" w:rsidRDefault="00AE37FB"/>
    <w:p w14:paraId="1EAE8C66" w14:textId="77777777" w:rsidR="00AE37FB" w:rsidRDefault="00AE37FB"/>
    <w:p w14:paraId="294CF874" w14:textId="77777777" w:rsidR="00AE37FB" w:rsidRDefault="00AE37FB"/>
    <w:p w14:paraId="08E433FD" w14:textId="77777777" w:rsidR="00AE37FB" w:rsidRDefault="00AE37FB"/>
    <w:p w14:paraId="35AB2D14" w14:textId="7A1A7364" w:rsidR="00AE37FB" w:rsidRPr="00C61B25" w:rsidRDefault="008E5AA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174F1" wp14:editId="2DD8E458">
                <wp:simplePos x="0" y="0"/>
                <wp:positionH relativeFrom="page">
                  <wp:posOffset>1143000</wp:posOffset>
                </wp:positionH>
                <wp:positionV relativeFrom="paragraph">
                  <wp:posOffset>3191510</wp:posOffset>
                </wp:positionV>
                <wp:extent cx="6410325" cy="1894840"/>
                <wp:effectExtent l="0" t="0" r="9525" b="0"/>
                <wp:wrapNone/>
                <wp:docPr id="210387439" name="Rectangles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325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A79AD" w14:textId="2709A135" w:rsidR="009352B1" w:rsidRPr="003F2E3F" w:rsidRDefault="008E5AA7">
                            <w:pPr>
                              <w:spacing w:line="360" w:lineRule="auto"/>
                            </w:pPr>
                            <w:r w:rsidRPr="008E5AA7">
                              <w:rPr>
                                <w:color w:val="808080"/>
                              </w:rPr>
                              <w:t xml:space="preserve">Кодирование по Международной статистической классификации болезней и проблем, связанных со </w:t>
                            </w:r>
                            <w:proofErr w:type="gramStart"/>
                            <w:r w:rsidRPr="008E5AA7">
                              <w:rPr>
                                <w:color w:val="808080"/>
                              </w:rPr>
                              <w:t>здоровьем:</w:t>
                            </w:r>
                            <w:r w:rsidR="009352B1" w:rsidRPr="003F2E3F">
                              <w:rPr>
                                <w:color w:val="808080"/>
                              </w:rPr>
                              <w:t>:</w:t>
                            </w:r>
                            <w:proofErr w:type="gramEnd"/>
                            <w:r w:rsidR="009352B1" w:rsidRPr="003F2E3F">
                              <w:rPr>
                                <w:color w:val="808080"/>
                              </w:rPr>
                              <w:t xml:space="preserve"> </w:t>
                            </w:r>
                            <w:r w:rsidR="009352B1">
                              <w:rPr>
                                <w:b/>
                                <w:color w:val="000000"/>
                              </w:rPr>
                              <w:t>К22.6</w:t>
                            </w:r>
                          </w:p>
                          <w:p w14:paraId="4192947B" w14:textId="77777777" w:rsidR="008E5AA7" w:rsidRPr="00D64245" w:rsidRDefault="008E5AA7" w:rsidP="008E5AA7">
                            <w:pPr>
                              <w:pStyle w:val="23"/>
                              <w:shd w:val="clear" w:color="auto" w:fill="auto"/>
                              <w:ind w:left="740" w:firstLine="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ID</w:t>
                            </w:r>
                            <w:r w:rsidRPr="00D64245">
                              <w:rPr>
                                <w:lang w:eastAsia="en-US" w:bidi="en-US"/>
                              </w:rPr>
                              <w:t>:</w:t>
                            </w:r>
                          </w:p>
                          <w:p w14:paraId="2F5716B7" w14:textId="77777777" w:rsidR="008E5AA7" w:rsidRDefault="008E5AA7" w:rsidP="008E5AA7">
                            <w:pPr>
                              <w:pStyle w:val="23"/>
                              <w:shd w:val="clear" w:color="auto" w:fill="auto"/>
                              <w:ind w:left="740" w:firstLine="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URL</w:t>
                            </w:r>
                            <w:r w:rsidRPr="00C36B14">
                              <w:rPr>
                                <w:lang w:eastAsia="en-US" w:bidi="en-US"/>
                              </w:rPr>
                              <w:t>:</w:t>
                            </w:r>
                          </w:p>
                          <w:p w14:paraId="71AA8ECD" w14:textId="6B15671E" w:rsidR="009352B1" w:rsidRDefault="009352B1">
                            <w:pPr>
                              <w:spacing w:line="360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Возрастная группа: </w:t>
                            </w:r>
                            <w:r w:rsidRPr="008E5AA7">
                              <w:rPr>
                                <w:b/>
                                <w:bCs/>
                                <w:color w:val="000000"/>
                              </w:rPr>
                              <w:t>взрослые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8E5AA7">
                              <w:rPr>
                                <w:b/>
                                <w:bCs/>
                              </w:rPr>
                              <w:t>Год утверждения</w:t>
                            </w:r>
                            <w:r w:rsidRPr="008E5AA7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="008E5AA7">
                              <w:rPr>
                                <w:b/>
                              </w:rPr>
                              <w:t>2__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6174F1" id="Rectangles 586" o:spid="_x0000_s1027" style="position:absolute;margin-left:90pt;margin-top:251.3pt;width:504.75pt;height:14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7ST5AEAALEDAAAOAAAAZHJzL2Uyb0RvYy54bWysU8Fu2zAMvQ/YPwi6L7YzN0iMOMXQIsOA&#10;bivQ7QNkWY6FyaJGKbGzrx+lpGmw3Yr6IIgi9cT3+Ly+nQbDDgq9BlvzYpZzpqyEVttdzX/+2H5Y&#10;cuaDsK0wYFXNj8rz2837d+vRVWoOPZhWISMQ66vR1bwPwVVZ5mWvBuFn4JSlZAc4iEAh7rIWxUjo&#10;g8nmeb7IRsDWIUjlPZ3en5J8k/C7Tsnwveu8CszUnHoLacW0NnHNNmtR7VC4XstzG+IVXQxCW3r0&#10;AnUvgmB71P9BDVoieOjCTMKQQddpqRIHYlPk/7B56oVTiQuJ491FJv92sPLb4ck9YmzduweQvzwp&#10;ko3OV5dMDDzVsGb8Ci3NUOwDJLJTh0O8STTYlDQ9XjRVU2CSDhdlkX+c33AmKVcsV+WyTKpnonq+&#10;7tCHzwoGFjc1RxpagheHBx9iO6J6Lkl9gtHtVhuTAtw1dwbZQdCAt+mLM6Ur/rrM2FhsIV47peNJ&#10;4hmpRbv4KkzNxHRLbUaIeNJAeyTiCCffkM9p0wP+4Wwkz9Tc/94LVJyZL5aGsirKyDSkoLxZrMj8&#10;eJ1prjPCSoKqeeDstL0LJ2PuHepdTy8VSQYLn0jwTicpXro6t0++SHTPHo7Gu45T1cuftvkLAAD/&#10;/wMAUEsDBBQABgAIAAAAIQCZf47e4AAAAAwBAAAPAAAAZHJzL2Rvd25yZXYueG1sTI9NSwMxGITv&#10;gv8hvII3m+xCS9xutpTiIgqCtsVzusl+0M2bkKTb9d+bnvQ4zDDzTLmZzUgm7cNgUUC2YEA0NlYN&#10;2Ak4HuonDiREiUqOFrWAHx1gU93flbJQ9opfetrHjqQSDIUU0MfoCkpD02sjw8I6jclrrTcyJuk7&#10;qry8pnIz0pyxFTVywLTQS6d3vW7O+4sRsOP1h5/kuXWf723+XR/eXo8vTojHh3m7BhL1HP/CcMNP&#10;6FAlppO9oApkTJqz9CUKWLJ8BeSWyPjzEshJAGcZA1qV9P+J6hcAAP//AwBQSwECLQAUAAYACAAA&#10;ACEAtoM4kv4AAADhAQAAEwAAAAAAAAAAAAAAAAAAAAAAW0NvbnRlbnRfVHlwZXNdLnhtbFBLAQIt&#10;ABQABgAIAAAAIQA4/SH/1gAAAJQBAAALAAAAAAAAAAAAAAAAAC8BAABfcmVscy8ucmVsc1BLAQIt&#10;ABQABgAIAAAAIQC5A7ST5AEAALEDAAAOAAAAAAAAAAAAAAAAAC4CAABkcnMvZTJvRG9jLnhtbFBL&#10;AQItABQABgAIAAAAIQCZf47e4AAAAAwBAAAPAAAAAAAAAAAAAAAAAD4EAABkcnMvZG93bnJldi54&#10;bWxQSwUGAAAAAAQABADzAAAASwUAAAAA&#10;" stroked="f">
                <v:path arrowok="t"/>
                <v:textbox inset="2.53958mm,1.2694mm,2.53958mm,1.2694mm">
                  <w:txbxContent>
                    <w:p w14:paraId="0BCA79AD" w14:textId="2709A135" w:rsidR="009352B1" w:rsidRPr="003F2E3F" w:rsidRDefault="008E5AA7">
                      <w:pPr>
                        <w:spacing w:line="360" w:lineRule="auto"/>
                      </w:pPr>
                      <w:r w:rsidRPr="008E5AA7">
                        <w:rPr>
                          <w:color w:val="808080"/>
                        </w:rPr>
                        <w:t xml:space="preserve">Кодирование по Международной статистической классификации болезней и проблем, связанных со </w:t>
                      </w:r>
                      <w:proofErr w:type="gramStart"/>
                      <w:r w:rsidRPr="008E5AA7">
                        <w:rPr>
                          <w:color w:val="808080"/>
                        </w:rPr>
                        <w:t>здоровьем:</w:t>
                      </w:r>
                      <w:r w:rsidR="009352B1" w:rsidRPr="003F2E3F">
                        <w:rPr>
                          <w:color w:val="808080"/>
                        </w:rPr>
                        <w:t>:</w:t>
                      </w:r>
                      <w:proofErr w:type="gramEnd"/>
                      <w:r w:rsidR="009352B1" w:rsidRPr="003F2E3F">
                        <w:rPr>
                          <w:color w:val="808080"/>
                        </w:rPr>
                        <w:t xml:space="preserve"> </w:t>
                      </w:r>
                      <w:r w:rsidR="009352B1">
                        <w:rPr>
                          <w:b/>
                          <w:color w:val="000000"/>
                        </w:rPr>
                        <w:t>К22.6</w:t>
                      </w:r>
                    </w:p>
                    <w:p w14:paraId="4192947B" w14:textId="77777777" w:rsidR="008E5AA7" w:rsidRPr="00D64245" w:rsidRDefault="008E5AA7" w:rsidP="008E5AA7">
                      <w:pPr>
                        <w:pStyle w:val="23"/>
                        <w:shd w:val="clear" w:color="auto" w:fill="auto"/>
                        <w:ind w:left="740" w:firstLine="0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ID</w:t>
                      </w:r>
                      <w:r w:rsidRPr="00D64245">
                        <w:rPr>
                          <w:lang w:eastAsia="en-US" w:bidi="en-US"/>
                        </w:rPr>
                        <w:t>:</w:t>
                      </w:r>
                    </w:p>
                    <w:p w14:paraId="2F5716B7" w14:textId="77777777" w:rsidR="008E5AA7" w:rsidRDefault="008E5AA7" w:rsidP="008E5AA7">
                      <w:pPr>
                        <w:pStyle w:val="23"/>
                        <w:shd w:val="clear" w:color="auto" w:fill="auto"/>
                        <w:ind w:left="740" w:firstLine="0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URL</w:t>
                      </w:r>
                      <w:r w:rsidRPr="00C36B14">
                        <w:rPr>
                          <w:lang w:eastAsia="en-US" w:bidi="en-US"/>
                        </w:rPr>
                        <w:t>:</w:t>
                      </w:r>
                    </w:p>
                    <w:p w14:paraId="71AA8ECD" w14:textId="6B15671E" w:rsidR="009352B1" w:rsidRDefault="009352B1">
                      <w:pPr>
                        <w:spacing w:line="360" w:lineRule="auto"/>
                      </w:pPr>
                      <w:r>
                        <w:rPr>
                          <w:color w:val="000000"/>
                        </w:rPr>
                        <w:t xml:space="preserve">Возрастная группа: </w:t>
                      </w:r>
                      <w:r w:rsidRPr="008E5AA7">
                        <w:rPr>
                          <w:b/>
                          <w:bCs/>
                          <w:color w:val="000000"/>
                        </w:rPr>
                        <w:t>взрослые</w:t>
                      </w:r>
                      <w:r>
                        <w:rPr>
                          <w:color w:val="000000"/>
                        </w:rPr>
                        <w:br/>
                      </w:r>
                      <w:r w:rsidRPr="008E5AA7">
                        <w:rPr>
                          <w:b/>
                          <w:bCs/>
                        </w:rPr>
                        <w:t>Год утверждения</w:t>
                      </w:r>
                      <w:r w:rsidRPr="008E5AA7">
                        <w:t xml:space="preserve"> </w:t>
                      </w:r>
                      <w:r>
                        <w:rPr>
                          <w:b/>
                        </w:rPr>
                        <w:t>20</w:t>
                      </w:r>
                      <w:r w:rsidR="008E5AA7">
                        <w:rPr>
                          <w:b/>
                        </w:rPr>
                        <w:t>2__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2E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98E49" wp14:editId="15F75A4E">
                <wp:simplePos x="0" y="0"/>
                <wp:positionH relativeFrom="column">
                  <wp:posOffset>-36518</wp:posOffset>
                </wp:positionH>
                <wp:positionV relativeFrom="paragraph">
                  <wp:posOffset>5092583</wp:posOffset>
                </wp:positionV>
                <wp:extent cx="5727700" cy="841473"/>
                <wp:effectExtent l="0" t="0" r="6350" b="0"/>
                <wp:wrapNone/>
                <wp:docPr id="1951116" name="Rectangles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841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4E5" w14:textId="77777777" w:rsidR="009352B1" w:rsidRDefault="009352B1">
                            <w:r>
                              <w:rPr>
                                <w:color w:val="808080"/>
                              </w:rPr>
                              <w:t>Разработчик клинических рекомендаций:</w:t>
                            </w:r>
                          </w:p>
                          <w:p w14:paraId="721CDD61" w14:textId="77777777" w:rsidR="009352B1" w:rsidRDefault="009352B1">
                            <w:pPr>
                              <w:spacing w:after="160"/>
                              <w:ind w:left="720" w:firstLine="360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Российское общество хирургов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ab/>
                            </w:r>
                          </w:p>
                          <w:p w14:paraId="52B28FD4" w14:textId="623EB5BC" w:rsidR="009352B1" w:rsidRPr="003F2E3F" w:rsidRDefault="009352B1" w:rsidP="003F2E3F">
                            <w:pPr>
                              <w:spacing w:after="160"/>
                              <w:ind w:left="720" w:firstLine="360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А</w:t>
                            </w:r>
                            <w:r w:rsidRPr="00F03A17">
                              <w:rPr>
                                <w:rFonts w:eastAsia="Arial"/>
                                <w:b/>
                                <w:color w:val="000000"/>
                              </w:rPr>
                              <w:t>ссоциация "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Э</w:t>
                            </w:r>
                            <w:r w:rsidRPr="00F03A17"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ндоскопическое общество 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«</w:t>
                            </w:r>
                            <w:proofErr w:type="spellStart"/>
                            <w:r w:rsidRPr="00966CA7">
                              <w:rPr>
                                <w:rFonts w:eastAsia="Arial"/>
                                <w:b/>
                              </w:rPr>
                              <w:t>РЭндО</w:t>
                            </w:r>
                            <w:proofErr w:type="spellEnd"/>
                            <w:r w:rsidRPr="00F03A17">
                              <w:rPr>
                                <w:rFonts w:eastAsia="Arial"/>
                                <w:b/>
                                <w:color w:val="00000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098E49" id="Rectangles 582" o:spid="_x0000_s1028" style="position:absolute;margin-left:-2.9pt;margin-top:401pt;width:451pt;height:6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rW4wEAALADAAAOAAAAZHJzL2Uyb0RvYy54bWysU11v2yAUfZ+0/4B4X+x4SdNacaqpVaZJ&#10;3Tqp2w/AGMdomMsuJHb263fBaRptb1X9gLgfHO45HK9vx96wg0KvwVZ8Pss5U1ZCo+2u4j9/bD9c&#10;c+aDsI0wYFXFj8rz2837d+vBlaqADkyjkBGI9eXgKt6F4Mos87JTvfAzcMpSsQXsRaAQd1mDYiD0&#10;3mRFnl9lA2DjEKTynrL3U5FvEn7bKhke29arwEzFabaQVkxrHddssxblDoXrtDyNIV4xRS+0pUvP&#10;UPciCLZH/R9UryWChzbMJPQZtK2WKnEgNvP8HzZPnXAqcSFxvDvL5N8OVn47PLnvGEf37gHkL0+K&#10;ZIPz5bkSA089rB6+QkNvKPYBEtmxxT6eJBpsTJoez5qqMTBJyeWqWK1ykl5S7XoxX6w+RtEzUT6f&#10;dujDZwU9i5uKI71ZQheHBx+m1ueWNCYY3Wy1MSnAXX1nkB0Eve82fSd0f9lmbGy2EI9NiDGTaEZm&#10;0S2+DGM9Mt1UvIgQMVNDcyTeCJNtyOa06QD/cDaQZSruf+8FKs7MF0tvcjNfFEvyWAoWy6sb8j5e&#10;VurLirCSoCoeOJu2d2Hy5d6h3nV00zzJYOET6d3qJMXLVKfxyRZJzJOFo+8u49T18qNt/gIAAP//&#10;AwBQSwMEFAAGAAgAAAAhAGOAs1rhAAAACgEAAA8AAABkcnMvZG93bnJldi54bWxMj19LwzAUxd8F&#10;v0O4A9+2dNWNrjYdMiyiIOg2fM6a9A9rbkKSdfXbe33Sx8M5nPM7xXYyAxu1D71FActFAkxjbVWP&#10;rYDjoZpnwEKUqORgUQv41gG25e1NIXNlr/ipx31sGZVgyKWALkaXcx7qThsZFtZpJK+x3shI0rdc&#10;eXmlcjPwNEnW3MgeaaGTTu86XZ/3FyNgl1XvfpTnxn28NelXdXh9OT47Ie5m09MjsKin+BeGX3xC&#10;h5KYTvaCKrBBwHxF5FFAlqT0iQLZZp0COwnY3D+sgJcF/3+h/AEAAP//AwBQSwECLQAUAAYACAAA&#10;ACEAtoM4kv4AAADhAQAAEwAAAAAAAAAAAAAAAAAAAAAAW0NvbnRlbnRfVHlwZXNdLnhtbFBLAQIt&#10;ABQABgAIAAAAIQA4/SH/1gAAAJQBAAALAAAAAAAAAAAAAAAAAC8BAABfcmVscy8ucmVsc1BLAQIt&#10;ABQABgAIAAAAIQD95ErW4wEAALADAAAOAAAAAAAAAAAAAAAAAC4CAABkcnMvZTJvRG9jLnhtbFBL&#10;AQItABQABgAIAAAAIQBjgLNa4QAAAAoBAAAPAAAAAAAAAAAAAAAAAD0EAABkcnMvZG93bnJldi54&#10;bWxQSwUGAAAAAAQABADzAAAASwUAAAAA&#10;" stroked="f">
                <v:path arrowok="t"/>
                <v:textbox inset="2.53958mm,1.2694mm,2.53958mm,1.2694mm">
                  <w:txbxContent>
                    <w:p w14:paraId="61E114E5" w14:textId="77777777" w:rsidR="009352B1" w:rsidRDefault="009352B1">
                      <w:r>
                        <w:rPr>
                          <w:color w:val="808080"/>
                        </w:rPr>
                        <w:t>Разработчик клинических рекомендаций:</w:t>
                      </w:r>
                    </w:p>
                    <w:p w14:paraId="721CDD61" w14:textId="77777777" w:rsidR="009352B1" w:rsidRDefault="009352B1">
                      <w:pPr>
                        <w:spacing w:after="160"/>
                        <w:ind w:left="720" w:firstLine="360"/>
                        <w:rPr>
                          <w:rFonts w:eastAsia="Arial"/>
                          <w:b/>
                          <w:color w:val="00000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Российское общество хирургов</w:t>
                      </w:r>
                      <w:r>
                        <w:rPr>
                          <w:rFonts w:eastAsia="Arial"/>
                          <w:b/>
                          <w:color w:val="000000"/>
                        </w:rPr>
                        <w:tab/>
                      </w:r>
                    </w:p>
                    <w:p w14:paraId="52B28FD4" w14:textId="623EB5BC" w:rsidR="009352B1" w:rsidRPr="003F2E3F" w:rsidRDefault="009352B1" w:rsidP="003F2E3F">
                      <w:pPr>
                        <w:spacing w:after="160"/>
                        <w:ind w:left="720" w:firstLine="360"/>
                        <w:rPr>
                          <w:rFonts w:eastAsia="Arial"/>
                          <w:b/>
                          <w:color w:val="00000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А</w:t>
                      </w:r>
                      <w:r w:rsidRPr="00F03A17">
                        <w:rPr>
                          <w:rFonts w:eastAsia="Arial"/>
                          <w:b/>
                          <w:color w:val="000000"/>
                        </w:rPr>
                        <w:t>ссоциация "</w:t>
                      </w:r>
                      <w:r>
                        <w:rPr>
                          <w:rFonts w:eastAsia="Arial"/>
                          <w:b/>
                          <w:color w:val="000000"/>
                        </w:rPr>
                        <w:t>Э</w:t>
                      </w:r>
                      <w:r w:rsidRPr="00F03A17">
                        <w:rPr>
                          <w:rFonts w:eastAsia="Arial"/>
                          <w:b/>
                          <w:color w:val="000000"/>
                        </w:rPr>
                        <w:t xml:space="preserve">ндоскопическое общество </w:t>
                      </w:r>
                      <w:r>
                        <w:rPr>
                          <w:rFonts w:eastAsia="Arial"/>
                          <w:b/>
                          <w:color w:val="000000"/>
                        </w:rPr>
                        <w:t>«</w:t>
                      </w:r>
                      <w:proofErr w:type="spellStart"/>
                      <w:r w:rsidRPr="00966CA7">
                        <w:rPr>
                          <w:rFonts w:eastAsia="Arial"/>
                          <w:b/>
                        </w:rPr>
                        <w:t>РЭндО</w:t>
                      </w:r>
                      <w:proofErr w:type="spellEnd"/>
                      <w:r w:rsidRPr="00F03A17">
                        <w:rPr>
                          <w:rFonts w:eastAsia="Arial"/>
                          <w:b/>
                          <w:color w:val="000000"/>
                        </w:rPr>
                        <w:t>"</w:t>
                      </w:r>
                    </w:p>
                  </w:txbxContent>
                </v:textbox>
              </v:rect>
            </w:pict>
          </mc:Fallback>
        </mc:AlternateContent>
      </w:r>
      <w:r w:rsidR="003F2E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65094" wp14:editId="30A27004">
                <wp:simplePos x="0" y="0"/>
                <wp:positionH relativeFrom="column">
                  <wp:posOffset>1691305</wp:posOffset>
                </wp:positionH>
                <wp:positionV relativeFrom="paragraph">
                  <wp:posOffset>1911816</wp:posOffset>
                </wp:positionV>
                <wp:extent cx="4796393" cy="1082695"/>
                <wp:effectExtent l="0" t="0" r="4445" b="3175"/>
                <wp:wrapNone/>
                <wp:docPr id="1799898793" name="Rectangles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6393" cy="108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0D4A9" w14:textId="3B7C2AD2" w:rsidR="009352B1" w:rsidRDefault="009352B1"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 xml:space="preserve">Синдром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Мэллори-Вейсса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 xml:space="preserve"> (желудочно-пищеводный разрывно-геморрагический синдром) 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3165094" id="Rectangles 584" o:spid="_x0000_s1029" style="position:absolute;margin-left:133.15pt;margin-top:150.55pt;width:377.65pt;height: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OQ5AEAALEDAAAOAAAAZHJzL2Uyb0RvYy54bWysU8tu2zAQvBfoPxC817L8aixYDooELgqk&#10;TYG0H0BRlEWU4rJL2pL79V1SjmO0tyA6ENwHhzvD0eZ26Aw7KvQabMnzyZQzZSXU2u5L/vPH7sMN&#10;Zz4IWwsDVpX8pDy/3b5/t+ldoWbQgqkVMgKxvuhdydsQXJFlXraqE34CTlkqNoCdCBTiPqtR9ITe&#10;mWw2na6yHrB2CFJ5T9n7sci3Cb9plAyPTeNVYKbkNFtIK6a1imu23Yhij8K1Wp7HEK+YohPa0qUX&#10;qHsRBDug/g+q0xLBQxMmEroMmkZLlTgQm3z6D5unVjiVuJA43l1k8m8HK78dn9x3jKN79wDylydF&#10;st754lKJgaceVvVfoaY3FIcAiezQYBdPEg02JE1PF03VEJik5OLjejVfzzmTVMunN7PVehlVz0Tx&#10;fNyhD58VdCxuSo70aAleHB98GFufW9KcYHS908akAPfVnUF2FPTAu/Sd0f11m7Gx2UI8NiLGTOIZ&#10;qUW7+CIM1cB0XfJ5hIiZCuoTEUcYfUM+p00L+IeznjxTcv/7IFBxZr5YepR1vpgtyWQpWCxXazI/&#10;Xleq64qwkqBKHjgbt3dhNObBod63dFOeZLDwiQRvdJLiZarz+OSLJObZw9F413HqevnTtn8BAAD/&#10;/wMAUEsDBBQABgAIAAAAIQCG5fyg4gAAAAwBAAAPAAAAZHJzL2Rvd25yZXYueG1sTI9NS8NAEIbv&#10;gv9hGcGb3U0qscRsihSDKAi1LZ6n2c0Hzc4u2W0a/73bk95mmId3nrdYz2Zgkx59b0lCshDANNVW&#10;9dRKOOyrhxUwH5AUDpa0hB/tYV3e3hSYK3uhLz3tQstiCPkcJXQhuJxzX3faoF9YpyneGjsaDHEd&#10;W65GvMRwM/BUiIwb7Cl+6NDpTafr0+5sJGxW1ec44alx248m/a7272+HVyfl/d388gws6Dn8wXDV&#10;j+pQRqejPZPybJCQZtkyohKWIkmAXQmRJhmwo4THpzjwsuD/S5S/AAAA//8DAFBLAQItABQABgAI&#10;AAAAIQC2gziS/gAAAOEBAAATAAAAAAAAAAAAAAAAAAAAAABbQ29udGVudF9UeXBlc10ueG1sUEsB&#10;Ai0AFAAGAAgAAAAhADj9If/WAAAAlAEAAAsAAAAAAAAAAAAAAAAALwEAAF9yZWxzLy5yZWxzUEsB&#10;Ai0AFAAGAAgAAAAhAEb5g5DkAQAAsQMAAA4AAAAAAAAAAAAAAAAALgIAAGRycy9lMm9Eb2MueG1s&#10;UEsBAi0AFAAGAAgAAAAhAIbl/KDiAAAADAEAAA8AAAAAAAAAAAAAAAAAPgQAAGRycy9kb3ducmV2&#10;LnhtbFBLBQYAAAAABAAEAPMAAABNBQAAAAA=&#10;" stroked="f">
                <v:path arrowok="t"/>
                <v:textbox inset="2.53958mm,1.2694mm,2.53958mm,1.2694mm">
                  <w:txbxContent>
                    <w:p w14:paraId="12E0D4A9" w14:textId="3B7C2AD2" w:rsidR="009352B1" w:rsidRDefault="009352B1">
                      <w:r>
                        <w:rPr>
                          <w:b/>
                          <w:color w:val="000000"/>
                          <w:sz w:val="44"/>
                        </w:rPr>
                        <w:t xml:space="preserve">Синдром </w:t>
                      </w:r>
                      <w:proofErr w:type="spellStart"/>
                      <w:r>
                        <w:rPr>
                          <w:b/>
                          <w:color w:val="000000"/>
                          <w:sz w:val="44"/>
                        </w:rPr>
                        <w:t>Мэллори-Вейсса</w:t>
                      </w:r>
                      <w:proofErr w:type="spellEnd"/>
                      <w:r>
                        <w:rPr>
                          <w:b/>
                          <w:color w:val="000000"/>
                          <w:sz w:val="44"/>
                        </w:rPr>
                        <w:t xml:space="preserve"> (желудочно-пищеводный разрывно-геморрагический синдром)  </w:t>
                      </w:r>
                    </w:p>
                  </w:txbxContent>
                </v:textbox>
              </v:rect>
            </w:pict>
          </mc:Fallback>
        </mc:AlternateContent>
      </w:r>
      <w:r w:rsidR="003A3C84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ABD3BA" wp14:editId="3AA2F6AF">
                <wp:simplePos x="0" y="0"/>
                <wp:positionH relativeFrom="column">
                  <wp:posOffset>-469900</wp:posOffset>
                </wp:positionH>
                <wp:positionV relativeFrom="paragraph">
                  <wp:posOffset>6821805</wp:posOffset>
                </wp:positionV>
                <wp:extent cx="3288665" cy="1327785"/>
                <wp:effectExtent l="0" t="0" r="0" b="0"/>
                <wp:wrapSquare wrapText="bothSides"/>
                <wp:docPr id="171514682" name="Rectangles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66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9D53F" w14:textId="77777777" w:rsidR="009352B1" w:rsidRDefault="009352B1">
                            <w:pPr>
                              <w:ind w:left="360" w:firstLine="1069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ABD3BA" id="Rectangles 587" o:spid="_x0000_s1030" style="position:absolute;margin-left:-37pt;margin-top:537.15pt;width:258.95pt;height:104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Fm5AEAALEDAAAOAAAAZHJzL2Uyb0RvYy54bWysU8tu2zAQvBfoPxC817Ic23EEy0GRwEWB&#10;9AGk/QCKoiSiFJdd0pbcr++SchyjvRXVgeA+ONwZjrb3Y2/YUaHXYEuez+acKSuh1rYt+fdv+3cb&#10;znwQthYGrCr5SXl+v3v7Zju4Qi2gA1MrZARifTG4knchuCLLvOxUL/wMnLJUbAB7ESjENqtRDITe&#10;m2wxn6+zAbB2CFJ5T9nHqch3Cb9plAxfmsarwEzJabaQVkxrFddstxVFi8J1Wp7HEP8wRS+0pUsv&#10;UI8iCHZA/RdUryWChybMJPQZNI2WKnEgNvn8DzbPnXAqcSFxvLvI5P8frPx8fHZfMY7u3RPIH54U&#10;yQbni0slBp56WDV8gpreUBwCJLJjg308STTYmDQ9XTRVY2CSkjeLzWa9XnEmqZbfLG5vN6uoeiaK&#10;l+MOffigoGdxU3KkR0vw4vjkw9T60pLmBKPrvTYmBdhWDwbZUdAD79N3RvfXbcbGZgvx2IQYM4ln&#10;pBbt4oswViPTdcmXESJmKqhPRBxh8g35nDYd4C/OBvJMyf3Pg0DFmflo6VHu8uWCmIYULFfrOzI/&#10;Xleq64qwkqBKHjibtg9hMubBoW47uilPMlh4T4I3OknxOtV5fPJFEvPs4Wi86zh1vf5pu98AAAD/&#10;/wMAUEsDBBQABgAIAAAAIQCd7H4B4wAAAA0BAAAPAAAAZHJzL2Rvd25yZXYueG1sTI9LT8MwEITv&#10;SPwHa5G4tU4Ti4Y0ToUqIgQSErQVZzd2Hmr8kO2m4d+znOC4M6PZb8rtrEcyKR8GazislgkQZRor&#10;B9NxOB7qRQ4kRGGkGK1RHL5VgG11e1OKQtqr+VTTPnYES0woBIc+RldQGppeaRGW1imDXmu9FhFP&#10;31HpxRXL9UjTJHmgWgwGP/TCqV2vmvP+ojns8vrdT+Lcuo+3Nv2qD68vx2fH+f3d/LQBEtUc/8Lw&#10;i4/oUCHTyV6MDGTksFgz3BLRSNYsA4IRxrJHICeU0jxjQKuS/l9R/QAAAP//AwBQSwECLQAUAAYA&#10;CAAAACEAtoM4kv4AAADhAQAAEwAAAAAAAAAAAAAAAAAAAAAAW0NvbnRlbnRfVHlwZXNdLnhtbFBL&#10;AQItABQABgAIAAAAIQA4/SH/1gAAAJQBAAALAAAAAAAAAAAAAAAAAC8BAABfcmVscy8ucmVsc1BL&#10;AQItABQABgAIAAAAIQDJ8MFm5AEAALEDAAAOAAAAAAAAAAAAAAAAAC4CAABkcnMvZTJvRG9jLnht&#10;bFBLAQItABQABgAIAAAAIQCd7H4B4wAAAA0BAAAPAAAAAAAAAAAAAAAAAD4EAABkcnMvZG93bnJl&#10;di54bWxQSwUGAAAAAAQABADzAAAATgUAAAAA&#10;" stroked="f">
                <v:path arrowok="t"/>
                <v:textbox inset="2.53958mm,1.2694mm,2.53958mm,1.2694mm">
                  <w:txbxContent>
                    <w:p w14:paraId="5829D53F" w14:textId="77777777" w:rsidR="009352B1" w:rsidRDefault="009352B1">
                      <w:pPr>
                        <w:ind w:left="360" w:firstLine="1069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A3C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5910D" wp14:editId="01C768BE">
                <wp:simplePos x="0" y="0"/>
                <wp:positionH relativeFrom="column">
                  <wp:posOffset>114300</wp:posOffset>
                </wp:positionH>
                <wp:positionV relativeFrom="paragraph">
                  <wp:posOffset>4817745</wp:posOffset>
                </wp:positionV>
                <wp:extent cx="3371215" cy="1436370"/>
                <wp:effectExtent l="0" t="0" r="0" b="0"/>
                <wp:wrapNone/>
                <wp:docPr id="2143372142" name="Rectangles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21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4"/>
                              <w:tblW w:w="95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5839"/>
                            </w:tblGrid>
                            <w:tr w:rsidR="009352B1" w14:paraId="02AE5D5F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686" w:type="dxa"/>
                                </w:tcPr>
                                <w:p w14:paraId="49819748" w14:textId="77777777" w:rsidR="009352B1" w:rsidRDefault="009352B1">
                                  <w:pPr>
                                    <w:pStyle w:val="a7"/>
                                    <w:spacing w:line="276" w:lineRule="auto"/>
                                    <w:jc w:val="right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</w:tcPr>
                                <w:p w14:paraId="0B9588D0" w14:textId="77777777" w:rsidR="009352B1" w:rsidRDefault="009352B1">
                                  <w:pPr>
                                    <w:tabs>
                                      <w:tab w:val="left" w:pos="6135"/>
                                    </w:tabs>
                                    <w:spacing w:line="276" w:lineRule="auto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52B1" w14:paraId="6727E239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686" w:type="dxa"/>
                                </w:tcPr>
                                <w:p w14:paraId="7640B5C3" w14:textId="77777777" w:rsidR="009352B1" w:rsidRDefault="009352B1">
                                  <w:pPr>
                                    <w:tabs>
                                      <w:tab w:val="left" w:pos="6135"/>
                                    </w:tabs>
                                    <w:spacing w:line="276" w:lineRule="auto"/>
                                    <w:jc w:val="right"/>
                                    <w:rPr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</w:tcPr>
                                <w:p w14:paraId="2B89F926" w14:textId="77777777" w:rsidR="009352B1" w:rsidRDefault="009352B1">
                                  <w:pPr>
                                    <w:tabs>
                                      <w:tab w:val="left" w:pos="6135"/>
                                    </w:tabs>
                                    <w:spacing w:line="276" w:lineRule="auto"/>
                                    <w:rPr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52B1" w14:paraId="236DF481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3686" w:type="dxa"/>
                                </w:tcPr>
                                <w:p w14:paraId="001E8020" w14:textId="77777777" w:rsidR="009352B1" w:rsidRDefault="009352B1">
                                  <w:pPr>
                                    <w:tabs>
                                      <w:tab w:val="left" w:pos="6135"/>
                                    </w:tabs>
                                    <w:spacing w:line="276" w:lineRule="auto"/>
                                    <w:jc w:val="right"/>
                                    <w:rPr>
                                      <w:color w:val="808080" w:themeColor="background1" w:themeShade="80"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</w:tcPr>
                                <w:p w14:paraId="2D25EFD1" w14:textId="77777777" w:rsidR="009352B1" w:rsidRDefault="009352B1">
                                  <w:pPr>
                                    <w:tabs>
                                      <w:tab w:val="left" w:pos="6135"/>
                                    </w:tabs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49B6FA" w14:textId="77777777" w:rsidR="009352B1" w:rsidRDefault="009352B1"/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910D" id="Rectangles 581" o:spid="_x0000_s1031" style="position:absolute;margin-left:9pt;margin-top:379.35pt;width:265.45pt;height:1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utAAIAAOMDAAAOAAAAZHJzL2Uyb0RvYy54bWysU9uO0zAQfUfiHyy/0zTttrsbNV2hXRUh&#10;LbBi4QMcx0ksHI8Zu02Wr2fstKXAGyIPI4/nknPOjDd3Y2/YQaHXYEuez+acKSuh1rYt+dcvuzc3&#10;nPkgbC0MWFXyF+X53fb1q83gCrWADkytkFET64vBlbwLwRVZ5mWneuFn4JSlYAPYi0AutlmNYqDu&#10;vckW8/k6GwBrhyCV93T7MAX5NvVvGiXDp6bxKjBTcsIWksVkq2iz7UYULQrXaXmEIf4BRS+0pZ+e&#10;Wz2IINge9V+tei0RPDRhJqHPoGm0VIkDscnnf7B57oRTiQuJ491ZJv//2sqPhydkui75Ir9aLq/J&#10;LjizoqdZfSb1hG2N8mx1k0epBucLqnh2TxjJevcI8punQPZbJDqeclg1fICaOol9gCTP2GAfK4k4&#10;G9MUXs5TUGNgki4JRb7IV5xJihGo9fI6zSkTxancoQ/vFPQsHkqOBDS1F4dHHyIcUZxSEk4wut5p&#10;Y5KDbXVvkB0ErcQufZEalfjLNGNjsoVYNoXjTeIZqU1ahLEak3irkzoV1C9EHGHaNHoZdOgAf3A2&#10;0JaV3H/fC1ScmfeWxnhLchPTkJyr1fqWngteRqrLiLCSWpU8cDYd78O0ynuHuu3oT3mSwcJbErzR&#10;SYo4jAnVET5tUqJ73Pq4qpd+yvr1Nrc/AQAA//8DAFBLAwQUAAYACAAAACEA6heEAOEAAAAKAQAA&#10;DwAAAGRycy9kb3ducmV2LnhtbEyPX0vDMBTF3wW/Q7gD31y6sbm0Nh0yLKIg6DZ8vmvSP6y5CU3W&#10;1W9vfNLHwzmc8zv5djI9G/XgO0sSFvMEmKbKqo4aCcdDeS+A+YCksLekJXxrD9vi9ibHTNkrfepx&#10;HxoWS8hnKKENwWWc+6rVBv3cOk3Rq+1gMEQ5NFwNeI3lpufLJHngBjuKCy06vWt1dd5fjISdKN+H&#10;Ec+1+3irl1/l4fXl+OykvJtNT4/Agp7CXxh+8SM6FJHpZC+kPOujFvFKkLBZiw2wGFivRArsJCEV&#10;qxR4kfP/F4ofAAAA//8DAFBLAQItABQABgAIAAAAIQC2gziS/gAAAOEBAAATAAAAAAAAAAAAAAAA&#10;AAAAAABbQ29udGVudF9UeXBlc10ueG1sUEsBAi0AFAAGAAgAAAAhADj9If/WAAAAlAEAAAsAAAAA&#10;AAAAAAAAAAAALwEAAF9yZWxzLy5yZWxzUEsBAi0AFAAGAAgAAAAhANMIu60AAgAA4wMAAA4AAAAA&#10;AAAAAAAAAAAALgIAAGRycy9lMm9Eb2MueG1sUEsBAi0AFAAGAAgAAAAhAOoXhADhAAAACgEAAA8A&#10;AAAAAAAAAAAAAAAAWgQAAGRycy9kb3ducmV2LnhtbFBLBQYAAAAABAAEAPMAAABoBQAAAAA=&#10;" stroked="f">
                <v:path arrowok="t"/>
                <v:textbox inset="2.53958mm,1.2694mm,2.53958mm,1.2694mm">
                  <w:txbxContent>
                    <w:tbl>
                      <w:tblPr>
                        <w:tblStyle w:val="af4"/>
                        <w:tblW w:w="95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5839"/>
                      </w:tblGrid>
                      <w:tr w:rsidR="009352B1" w14:paraId="02AE5D5F" w14:textId="77777777">
                        <w:trPr>
                          <w:trHeight w:val="815"/>
                        </w:trPr>
                        <w:tc>
                          <w:tcPr>
                            <w:tcW w:w="3686" w:type="dxa"/>
                          </w:tcPr>
                          <w:p w14:paraId="49819748" w14:textId="77777777" w:rsidR="009352B1" w:rsidRDefault="009352B1">
                            <w:pPr>
                              <w:pStyle w:val="a7"/>
                              <w:spacing w:line="276" w:lineRule="auto"/>
                              <w:jc w:val="righ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</w:tcPr>
                          <w:p w14:paraId="0B9588D0" w14:textId="77777777" w:rsidR="009352B1" w:rsidRDefault="009352B1">
                            <w:pPr>
                              <w:tabs>
                                <w:tab w:val="left" w:pos="6135"/>
                              </w:tabs>
                              <w:spacing w:line="276" w:lineRule="auto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9352B1" w14:paraId="6727E239" w14:textId="77777777">
                        <w:trPr>
                          <w:trHeight w:val="815"/>
                        </w:trPr>
                        <w:tc>
                          <w:tcPr>
                            <w:tcW w:w="3686" w:type="dxa"/>
                          </w:tcPr>
                          <w:p w14:paraId="7640B5C3" w14:textId="77777777" w:rsidR="009352B1" w:rsidRDefault="009352B1">
                            <w:pPr>
                              <w:tabs>
                                <w:tab w:val="left" w:pos="6135"/>
                              </w:tabs>
                              <w:spacing w:line="276" w:lineRule="auto"/>
                              <w:jc w:val="right"/>
                              <w:rPr>
                                <w:color w:val="808080" w:themeColor="background1" w:themeShade="80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</w:tcPr>
                          <w:p w14:paraId="2B89F926" w14:textId="77777777" w:rsidR="009352B1" w:rsidRDefault="009352B1">
                            <w:pPr>
                              <w:tabs>
                                <w:tab w:val="left" w:pos="6135"/>
                              </w:tabs>
                              <w:spacing w:line="276" w:lineRule="auto"/>
                              <w:rPr>
                                <w:color w:val="808080" w:themeColor="background1" w:themeShade="80"/>
                                <w:sz w:val="20"/>
                                <w:szCs w:val="28"/>
                              </w:rPr>
                            </w:pPr>
                          </w:p>
                        </w:tc>
                      </w:tr>
                      <w:tr w:rsidR="009352B1" w14:paraId="236DF481" w14:textId="77777777">
                        <w:trPr>
                          <w:trHeight w:val="815"/>
                        </w:trPr>
                        <w:tc>
                          <w:tcPr>
                            <w:tcW w:w="3686" w:type="dxa"/>
                          </w:tcPr>
                          <w:p w14:paraId="001E8020" w14:textId="77777777" w:rsidR="009352B1" w:rsidRDefault="009352B1">
                            <w:pPr>
                              <w:tabs>
                                <w:tab w:val="left" w:pos="6135"/>
                              </w:tabs>
                              <w:spacing w:line="276" w:lineRule="auto"/>
                              <w:jc w:val="right"/>
                              <w:rPr>
                                <w:color w:val="808080" w:themeColor="background1" w:themeShade="80"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</w:tcPr>
                          <w:p w14:paraId="2D25EFD1" w14:textId="77777777" w:rsidR="009352B1" w:rsidRDefault="009352B1">
                            <w:pPr>
                              <w:tabs>
                                <w:tab w:val="left" w:pos="6135"/>
                              </w:tabs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C49B6FA" w14:textId="77777777" w:rsidR="009352B1" w:rsidRDefault="009352B1"/>
                  </w:txbxContent>
                </v:textbox>
              </v:rect>
            </w:pict>
          </mc:Fallback>
        </mc:AlternateContent>
      </w:r>
      <w:r w:rsidR="003A3C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4A96C" wp14:editId="0D746888">
                <wp:simplePos x="0" y="0"/>
                <wp:positionH relativeFrom="column">
                  <wp:posOffset>1691005</wp:posOffset>
                </wp:positionH>
                <wp:positionV relativeFrom="paragraph">
                  <wp:posOffset>1419860</wp:posOffset>
                </wp:positionV>
                <wp:extent cx="2447290" cy="264160"/>
                <wp:effectExtent l="0" t="0" r="0" b="0"/>
                <wp:wrapNone/>
                <wp:docPr id="1401012183" name="Rectangles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2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7920" w14:textId="77777777" w:rsidR="009352B1" w:rsidRDefault="009352B1">
                            <w:r>
                              <w:rPr>
                                <w:color w:val="808080"/>
                              </w:rPr>
                              <w:t>Клинические рекомендации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D4A96C" id="Rectangles 580" o:spid="_x0000_s1032" style="position:absolute;margin-left:133.15pt;margin-top:111.8pt;width:192.7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yN5QEAALADAAAOAAAAZHJzL2Uyb0RvYy54bWysU9uO0zAQfUfiHyy/07RRt9Co6Qrtqghp&#10;uUgLH+A4TmPheMyM22T5esZut1vBGyIPlsczPp5z5mRzOw1OHA2SBV/LxWwuhfEaWuv3tfz+bffm&#10;nRQUlW+VA29q+WRI3m5fv9qMoTIl9OBag4JBPFVjqGUfY6iKgnRvBkUzCMZzsgMcVOQQ90WLamT0&#10;wRXlfL4qRsA2IGhDxKf3p6TcZvyuMzp+6ToyUbhacm8xr5jXJq3FdqOqParQW31uQ/1DF4Oynh+9&#10;QN2rqMQB7V9Qg9UIBF2caRgK6DqrTebAbBbzP9g89iqYzIXFoXCRif4frP58fAxfMbVO4QH0D2JF&#10;ijFQdcmkgLhGNOMnaHmG6hAhk506HNJNpiGmrOnTRVMzRaH5sFwu35Zrll5zrlwtF6sseqGq59sB&#10;KX4wMIi0qSXyzDK6Oj5QTN2o6rkktwnOtjvrXA5w39w5FEfF893lL42Ur9B1mfOp2EO6dkqnk0wz&#10;MUtuoSpOzSRsW8tVgkgnDbRPzBvhZBu2OW96wF9SjGyZWtLPg0IjhfvoeSbrxbK8YY/lYHmzWrP3&#10;8TrTXGeU1wxVyyjFaXsXT748BLT7nl9aZBk8vGe9O5uleOnq3D7bItM9Wzj57jrOVS8/2vY3AAAA&#10;//8DAFBLAwQUAAYACAAAACEAh2hle+EAAAALAQAADwAAAGRycy9kb3ducmV2LnhtbEyPy2rDMBBF&#10;94X+g5hAd40chajBsRxKqCktFNokdK1Y4wexHkiK4/59lVW7m+Ee7pwptpMeyIg+9NYIWMwzIGhq&#10;q3rTCjgeqsc1kBClUXKwBgX8YIBteX9XyFzZq/nCcR9bkkpMyKWALkaXUxrqDrUMc+vQpKyxXsuY&#10;Vt9S5eU1leuBsizjVMvepAuddLjrsD7vL1rAbl19+FGeG/f53rDv6vD2enxxQjzMpucNkIhT/IPh&#10;pp/UoUxOJ3sxKpBBAON8mdA0sCUHkgi+WjwBOd2iFQNaFvT/D+UvAAAA//8DAFBLAQItABQABgAI&#10;AAAAIQC2gziS/gAAAOEBAAATAAAAAAAAAAAAAAAAAAAAAABbQ29udGVudF9UeXBlc10ueG1sUEsB&#10;Ai0AFAAGAAgAAAAhADj9If/WAAAAlAEAAAsAAAAAAAAAAAAAAAAALwEAAF9yZWxzLy5yZWxzUEsB&#10;Ai0AFAAGAAgAAAAhAFuGjI3lAQAAsAMAAA4AAAAAAAAAAAAAAAAALgIAAGRycy9lMm9Eb2MueG1s&#10;UEsBAi0AFAAGAAgAAAAhAIdoZXvhAAAACwEAAA8AAAAAAAAAAAAAAAAAPwQAAGRycy9kb3ducmV2&#10;LnhtbFBLBQYAAAAABAAEAPMAAABNBQAAAAA=&#10;" stroked="f">
                <v:path arrowok="t"/>
                <v:textbox inset="2.53958mm,1.2694mm,2.53958mm,1.2694mm">
                  <w:txbxContent>
                    <w:p w14:paraId="18687920" w14:textId="77777777" w:rsidR="009352B1" w:rsidRDefault="009352B1">
                      <w:r>
                        <w:rPr>
                          <w:color w:val="808080"/>
                        </w:rPr>
                        <w:t>Клинические рекомендации</w:t>
                      </w:r>
                    </w:p>
                  </w:txbxContent>
                </v:textbox>
              </v:rect>
            </w:pict>
          </mc:Fallback>
        </mc:AlternateContent>
      </w:r>
      <w:r w:rsidR="00F52CFD">
        <w:t xml:space="preserve">. </w:t>
      </w:r>
      <w:r w:rsidR="00F52CFD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5964603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2ED2CA4" w14:textId="77777777" w:rsidR="00AE37FB" w:rsidRDefault="00F52CFD">
          <w:pPr>
            <w:pStyle w:val="16"/>
            <w:spacing w:line="360" w:lineRule="auto"/>
            <w:rPr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FD630EB" w14:textId="77777777" w:rsidR="00AE37FB" w:rsidRDefault="00AE37FB">
          <w:pPr>
            <w:pStyle w:val="12"/>
            <w:tabs>
              <w:tab w:val="right" w:leader="dot" w:pos="9770"/>
            </w:tabs>
            <w:spacing w:line="360" w:lineRule="auto"/>
          </w:pPr>
        </w:p>
        <w:p w14:paraId="371FA10F" w14:textId="77777777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Список сокращений</w:t>
          </w:r>
          <w:r>
            <w:tab/>
          </w:r>
          <w:r w:rsidR="0071305A">
            <w:t>4</w:t>
          </w:r>
        </w:p>
        <w:p w14:paraId="53728654" w14:textId="77777777" w:rsidR="00AE37FB" w:rsidRPr="008156B7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Термины и определения</w:t>
          </w:r>
          <w:r>
            <w:tab/>
          </w:r>
          <w:r w:rsidR="00291A6D" w:rsidRPr="008156B7">
            <w:t>6</w:t>
          </w:r>
        </w:p>
        <w:p w14:paraId="6B982219" w14:textId="77777777" w:rsidR="00AE37FB" w:rsidRPr="00291A6D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1. Краткая информация по заболеванию или состоянию (группе заболеваний или состояний)</w:t>
          </w:r>
          <w:r>
            <w:tab/>
          </w:r>
          <w:r w:rsidR="00291A6D" w:rsidRPr="00291A6D">
            <w:t>8</w:t>
          </w:r>
        </w:p>
        <w:p w14:paraId="46611444" w14:textId="77777777" w:rsidR="00AE37FB" w:rsidRPr="00291A6D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1.1 Определение заболевания или состояния (группы заболеваний или состояний)</w:t>
          </w:r>
          <w:r>
            <w:tab/>
          </w:r>
          <w:r w:rsidR="00291A6D" w:rsidRPr="00291A6D">
            <w:t>8</w:t>
          </w:r>
        </w:p>
        <w:p w14:paraId="15533FDC" w14:textId="77777777" w:rsidR="00AE37FB" w:rsidRPr="00291A6D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1.2 Этиология и патогенез заболевания или состояния (группы заболеваний или состояний)</w:t>
          </w:r>
          <w:r>
            <w:tab/>
          </w:r>
          <w:r w:rsidR="00291A6D" w:rsidRPr="00291A6D">
            <w:t>8</w:t>
          </w:r>
        </w:p>
        <w:p w14:paraId="35C59584" w14:textId="77777777" w:rsidR="00AE37FB" w:rsidRPr="00291A6D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>
            <w:t>1.3 Эпидемиология заболевания или состояния (группы заболеваний или состояний)</w:t>
          </w:r>
          <w:r>
            <w:tab/>
          </w:r>
          <w:r w:rsidR="00291A6D" w:rsidRPr="00291A6D">
            <w:t>9</w:t>
          </w:r>
        </w:p>
        <w:p w14:paraId="7805C470" w14:textId="77777777" w:rsidR="00AE37FB" w:rsidRPr="00291A6D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>
    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</w:r>
          <w:r>
            <w:tab/>
          </w:r>
          <w:r w:rsidR="00291A6D" w:rsidRPr="00291A6D">
            <w:t>11</w:t>
          </w:r>
        </w:p>
        <w:p w14:paraId="104DF493" w14:textId="77777777" w:rsidR="00AE37FB" w:rsidRPr="00291A6D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>
            <w:t>1.5 Классификация заболевания или состояния (группы заболеваний или состояний)</w:t>
          </w:r>
          <w:r>
            <w:tab/>
          </w:r>
          <w:r w:rsidR="00291A6D" w:rsidRPr="00291A6D">
            <w:t>11</w:t>
          </w:r>
        </w:p>
        <w:p w14:paraId="19AC76DC" w14:textId="77777777" w:rsidR="00AE37FB" w:rsidRPr="00291A6D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>
            <w:t>1.6 Клиническая картина заболевания или состояния (группы заболеваний или состояний)</w:t>
          </w:r>
          <w:r>
            <w:tab/>
          </w:r>
          <w:r w:rsidR="0071305A">
            <w:t>1</w:t>
          </w:r>
          <w:r w:rsidR="00291A6D" w:rsidRPr="00291A6D">
            <w:t>4</w:t>
          </w:r>
        </w:p>
        <w:p w14:paraId="08588608" w14:textId="77777777" w:rsidR="00AE37FB" w:rsidRPr="00291A6D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>
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</w:r>
          <w:r w:rsidR="0071305A">
            <w:t>…………………………</w:t>
          </w:r>
          <w:r w:rsidR="00291A6D">
            <w:t>…………………………</w:t>
          </w:r>
          <w:r w:rsidR="00DF096E">
            <w:t>……………………………</w:t>
          </w:r>
          <w:proofErr w:type="gramStart"/>
          <w:r w:rsidR="00DF096E">
            <w:t>…….</w:t>
          </w:r>
          <w:proofErr w:type="gramEnd"/>
          <w:r w:rsidR="00291A6D">
            <w:t>18</w:t>
          </w:r>
        </w:p>
        <w:p w14:paraId="471A858C" w14:textId="31746E42" w:rsidR="00AE37FB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>
            <w:t>2.1 Жалобы</w:t>
          </w:r>
          <w:r w:rsidR="003F2E3F">
            <w:t xml:space="preserve"> и </w:t>
          </w:r>
          <w:r>
            <w:t>анамнез</w:t>
          </w:r>
          <w:r w:rsidR="0071305A">
            <w:t>……………………………</w:t>
          </w:r>
          <w:r w:rsidR="00291A6D">
            <w:t>…………………</w:t>
          </w:r>
          <w:r w:rsidR="00DF096E">
            <w:t>…………………………</w:t>
          </w:r>
          <w:r w:rsidR="00291A6D">
            <w:t>19</w:t>
          </w:r>
        </w:p>
        <w:p w14:paraId="5F821EE1" w14:textId="77777777" w:rsidR="00AE37FB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</w:pPr>
          <w:r>
            <w:t xml:space="preserve">2.2 </w:t>
          </w:r>
          <w:proofErr w:type="spellStart"/>
          <w:r>
            <w:t>Физикальное</w:t>
          </w:r>
          <w:proofErr w:type="spellEnd"/>
          <w:r>
            <w:t xml:space="preserve"> обследование</w:t>
          </w:r>
          <w:r>
            <w:tab/>
          </w:r>
          <w:r w:rsidR="00291A6D">
            <w:t>21</w:t>
          </w:r>
        </w:p>
        <w:p w14:paraId="1DE78178" w14:textId="77777777" w:rsidR="00AE37FB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2.3. Лабораторные диагностические исследования</w:t>
          </w:r>
          <w:r w:rsidR="00291A6D">
            <w:t>…………………</w:t>
          </w:r>
          <w:r w:rsidR="00DF096E">
            <w:t>…………………</w:t>
          </w:r>
          <w:proofErr w:type="gramStart"/>
          <w:r w:rsidR="00DF096E">
            <w:t>…….</w:t>
          </w:r>
          <w:proofErr w:type="gramEnd"/>
          <w:r w:rsidR="00291A6D">
            <w:t>22</w:t>
          </w:r>
        </w:p>
        <w:p w14:paraId="555EA95E" w14:textId="77777777" w:rsidR="00AE37FB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2.4 Инструментальные диагностические исследования</w:t>
          </w:r>
          <w:r w:rsidR="006133CC">
            <w:t>……………</w:t>
          </w:r>
          <w:r w:rsidR="00DF096E">
            <w:t>…………………</w:t>
          </w:r>
          <w:proofErr w:type="gramStart"/>
          <w:r w:rsidR="00DF096E">
            <w:t>…….</w:t>
          </w:r>
          <w:proofErr w:type="gramEnd"/>
          <w:r w:rsidR="006133CC">
            <w:t>24</w:t>
          </w:r>
        </w:p>
        <w:p w14:paraId="2B944DA5" w14:textId="5AB69565" w:rsidR="00AE37FB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2.5 Иные диагностические исследовани</w:t>
          </w:r>
          <w:r w:rsidR="003F2E3F">
            <w:t>я</w:t>
          </w:r>
          <w:r w:rsidR="00020712">
            <w:t>………………………………………………</w:t>
          </w:r>
          <w:proofErr w:type="gramStart"/>
          <w:r w:rsidR="00020712">
            <w:t>…….</w:t>
          </w:r>
          <w:proofErr w:type="gramEnd"/>
          <w:r w:rsidR="00020712">
            <w:t>.</w:t>
          </w:r>
          <w:r w:rsidR="006133CC">
            <w:t>33</w:t>
          </w:r>
        </w:p>
        <w:p w14:paraId="73738C41" w14:textId="61BFD373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</w:r>
          <w:r w:rsidR="00020712">
            <w:t>………………………………………………………………………………………</w:t>
          </w:r>
          <w:proofErr w:type="gramStart"/>
          <w:r w:rsidR="00020712">
            <w:t>…….</w:t>
          </w:r>
          <w:proofErr w:type="gramEnd"/>
          <w:r w:rsidR="00020712">
            <w:t>.</w:t>
          </w:r>
          <w:r w:rsidR="006133CC">
            <w:t>35</w:t>
          </w:r>
        </w:p>
        <w:p w14:paraId="32D8873C" w14:textId="37770C5D" w:rsidR="00AE37FB" w:rsidRDefault="00F52CFD">
          <w:pPr>
            <w:pStyle w:val="20"/>
            <w:tabs>
              <w:tab w:val="left" w:pos="1540"/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3.1</w:t>
          </w:r>
          <w:r w:rsidRPr="0096039F">
            <w:t xml:space="preserve"> </w:t>
          </w:r>
          <w:r>
            <w:t>Диетотерапия</w:t>
          </w:r>
          <w:r w:rsidR="00020712">
            <w:t>…………………………………………………………………………</w:t>
          </w:r>
          <w:proofErr w:type="gramStart"/>
          <w:r w:rsidR="00020712">
            <w:t>…….</w:t>
          </w:r>
          <w:proofErr w:type="gramEnd"/>
          <w:r w:rsidR="00020712">
            <w:t>.</w:t>
          </w:r>
          <w:r w:rsidR="006133CC">
            <w:t>3</w:t>
          </w:r>
          <w:r w:rsidR="00020712">
            <w:t>5</w:t>
          </w:r>
        </w:p>
        <w:p w14:paraId="37C8D8BF" w14:textId="36987427" w:rsidR="00AE37FB" w:rsidRDefault="00F52CFD">
          <w:pPr>
            <w:pStyle w:val="20"/>
            <w:tabs>
              <w:tab w:val="right" w:leader="dot" w:pos="9770"/>
            </w:tabs>
            <w:spacing w:line="360" w:lineRule="auto"/>
            <w:rPr>
              <w:color w:val="000000" w:themeColor="text1"/>
            </w:rPr>
          </w:pPr>
          <w:r>
            <w:t>3.2 Консервативное лечение</w:t>
          </w:r>
          <w:r w:rsidR="00020712">
            <w:t>……………………………………………………………………36</w:t>
          </w:r>
        </w:p>
        <w:p w14:paraId="2F2FE9F6" w14:textId="2B0025EA" w:rsidR="00AE37FB" w:rsidRDefault="00F52CFD">
          <w:pPr>
            <w:spacing w:line="360" w:lineRule="auto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3.</w:t>
          </w:r>
          <w:proofErr w:type="gramStart"/>
          <w:r>
            <w:rPr>
              <w:color w:val="000000" w:themeColor="text1"/>
            </w:rPr>
            <w:t>3.Эндоскопическое</w:t>
          </w:r>
          <w:proofErr w:type="gramEnd"/>
          <w:r>
            <w:rPr>
              <w:color w:val="000000" w:themeColor="text1"/>
            </w:rPr>
            <w:t xml:space="preserve"> лечение…………………………………………………………</w:t>
          </w:r>
          <w:r w:rsidR="0071305A">
            <w:rPr>
              <w:color w:val="000000" w:themeColor="text1"/>
            </w:rPr>
            <w:t>……</w:t>
          </w:r>
          <w:r w:rsidR="00DF096E">
            <w:rPr>
              <w:color w:val="000000" w:themeColor="text1"/>
            </w:rPr>
            <w:t>…</w:t>
          </w:r>
          <w:r w:rsidR="00020712">
            <w:rPr>
              <w:color w:val="000000" w:themeColor="text1"/>
            </w:rPr>
            <w:t>.</w:t>
          </w:r>
          <w:r w:rsidR="00DF096E">
            <w:rPr>
              <w:color w:val="000000" w:themeColor="text1"/>
            </w:rPr>
            <w:t>4</w:t>
          </w:r>
          <w:r w:rsidR="00020712">
            <w:rPr>
              <w:color w:val="000000" w:themeColor="text1"/>
            </w:rPr>
            <w:t>7</w:t>
          </w:r>
        </w:p>
        <w:p w14:paraId="5C2F3C49" w14:textId="4C4C195D" w:rsidR="00AE37FB" w:rsidRDefault="00F52CFD">
          <w:pPr>
            <w:spacing w:line="360" w:lineRule="auto"/>
            <w:rPr>
              <w:color w:val="000000" w:themeColor="text1"/>
            </w:rPr>
          </w:pPr>
          <w:r>
            <w:rPr>
              <w:color w:val="000000" w:themeColor="text1"/>
            </w:rPr>
            <w:lastRenderedPageBreak/>
            <w:t xml:space="preserve">    3.4. </w:t>
          </w:r>
          <w:r w:rsidR="003F2E3F">
            <w:rPr>
              <w:color w:val="000000" w:themeColor="text1"/>
            </w:rPr>
            <w:t>Эндоваскулярное лечение</w:t>
          </w:r>
          <w:r>
            <w:rPr>
              <w:color w:val="000000" w:themeColor="text1"/>
            </w:rPr>
            <w:t>…………………………………………………………</w:t>
          </w:r>
          <w:r w:rsidR="00AE1753">
            <w:rPr>
              <w:color w:val="000000" w:themeColor="text1"/>
            </w:rPr>
            <w:t>……</w:t>
          </w:r>
          <w:r w:rsidR="00020712">
            <w:rPr>
              <w:color w:val="000000" w:themeColor="text1"/>
            </w:rPr>
            <w:t>...</w:t>
          </w:r>
          <w:r w:rsidR="006133CC">
            <w:rPr>
              <w:color w:val="000000" w:themeColor="text1"/>
            </w:rPr>
            <w:t>5</w:t>
          </w:r>
          <w:r w:rsidR="00020712">
            <w:rPr>
              <w:color w:val="000000" w:themeColor="text1"/>
            </w:rPr>
            <w:t>0</w:t>
          </w:r>
        </w:p>
        <w:p w14:paraId="1B28A605" w14:textId="56A9A7E3" w:rsidR="00AE37FB" w:rsidRDefault="00F52CFD">
          <w:pPr>
            <w:spacing w:line="360" w:lineRule="auto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3.5. Хирургическое лечение……………………………………………………………</w:t>
          </w:r>
          <w:r w:rsidR="00AE1753">
            <w:rPr>
              <w:color w:val="000000" w:themeColor="text1"/>
            </w:rPr>
            <w:t>………</w:t>
          </w:r>
          <w:r w:rsidR="006133CC">
            <w:rPr>
              <w:color w:val="000000" w:themeColor="text1"/>
            </w:rPr>
            <w:t>5</w:t>
          </w:r>
          <w:r w:rsidR="00020712">
            <w:rPr>
              <w:color w:val="000000" w:themeColor="text1"/>
            </w:rPr>
            <w:t>0</w:t>
          </w:r>
        </w:p>
        <w:p w14:paraId="0175DE12" w14:textId="77777777" w:rsidR="006C4D9F" w:rsidRPr="008156B7" w:rsidRDefault="00F52CFD" w:rsidP="006C4D9F">
          <w:pPr>
            <w:pStyle w:val="CustomContentNormal"/>
            <w:jc w:val="both"/>
            <w:rPr>
              <w:b w:val="0"/>
              <w:bCs/>
              <w:sz w:val="24"/>
              <w:szCs w:val="24"/>
            </w:rPr>
          </w:pPr>
          <w:r w:rsidRPr="006133CC">
            <w:rPr>
              <w:b w:val="0"/>
              <w:bCs/>
            </w:rPr>
            <w:t xml:space="preserve">4. </w:t>
          </w:r>
          <w:r w:rsidR="00A4052B" w:rsidRPr="008156B7">
            <w:rPr>
              <w:b w:val="0"/>
              <w:bCs/>
              <w:sz w:val="24"/>
              <w:szCs w:val="24"/>
            </w:rPr>
    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</w:t>
          </w:r>
          <w:r w:rsidR="006133CC">
            <w:rPr>
              <w:b w:val="0"/>
              <w:bCs/>
              <w:sz w:val="24"/>
              <w:szCs w:val="24"/>
            </w:rPr>
            <w:t>в…………………………………………</w:t>
          </w:r>
          <w:r w:rsidR="00DF096E">
            <w:rPr>
              <w:b w:val="0"/>
              <w:bCs/>
              <w:sz w:val="24"/>
              <w:szCs w:val="24"/>
            </w:rPr>
            <w:t>…………………………………………</w:t>
          </w:r>
          <w:proofErr w:type="gramStart"/>
          <w:r w:rsidR="00DF096E">
            <w:rPr>
              <w:b w:val="0"/>
              <w:bCs/>
              <w:sz w:val="24"/>
              <w:szCs w:val="24"/>
            </w:rPr>
            <w:t>…….</w:t>
          </w:r>
          <w:proofErr w:type="gramEnd"/>
          <w:r w:rsidR="006133CC">
            <w:rPr>
              <w:b w:val="0"/>
              <w:bCs/>
              <w:sz w:val="24"/>
              <w:szCs w:val="24"/>
            </w:rPr>
            <w:t>65</w:t>
          </w:r>
        </w:p>
        <w:p w14:paraId="21D4FA42" w14:textId="1D8E9F0C" w:rsidR="00B23789" w:rsidRPr="006133CC" w:rsidRDefault="00ED7916" w:rsidP="006133CC">
          <w:pPr>
            <w:pStyle w:val="12"/>
            <w:tabs>
              <w:tab w:val="right" w:leader="dot" w:pos="9770"/>
            </w:tabs>
            <w:spacing w:line="360" w:lineRule="auto"/>
            <w:rPr>
              <w:bCs/>
            </w:rPr>
          </w:pPr>
          <w:r>
            <w:t>5.</w:t>
          </w:r>
          <w:r w:rsidR="00B23789">
            <w:t>Профилактика и диспансерное наблюдение, меди</w:t>
          </w:r>
          <w:r w:rsidR="006133CC">
            <w:t>ц</w:t>
          </w:r>
          <w:r w:rsidR="00B23789">
            <w:t>инские показания и противопоказания</w:t>
          </w:r>
          <w:r w:rsidR="006133CC">
            <w:t xml:space="preserve"> </w:t>
          </w:r>
          <w:r w:rsidR="00B23789">
            <w:t>к применению методов профилактики………</w:t>
          </w:r>
          <w:r w:rsidR="006133CC">
            <w:t>……</w:t>
          </w:r>
          <w:r w:rsidR="00DF096E">
            <w:t>………………………………………</w:t>
          </w:r>
          <w:proofErr w:type="gramStart"/>
          <w:r w:rsidR="00DF096E">
            <w:t>…….</w:t>
          </w:r>
          <w:proofErr w:type="gramEnd"/>
          <w:r w:rsidR="00DF096E">
            <w:t>.</w:t>
          </w:r>
          <w:r w:rsidR="006133CC">
            <w:t>66</w:t>
          </w:r>
        </w:p>
        <w:p w14:paraId="029185C8" w14:textId="77777777" w:rsidR="00B23789" w:rsidRPr="00ED7916" w:rsidRDefault="00B23789" w:rsidP="00ED7916"/>
        <w:p w14:paraId="23C5F36E" w14:textId="03785CC4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6. Организация оказания медицинской помощи</w:t>
          </w:r>
          <w:r w:rsidR="002C78CA">
            <w:t>…………………………………………</w:t>
          </w:r>
          <w:proofErr w:type="gramStart"/>
          <w:r w:rsidR="002C78CA">
            <w:t>…….</w:t>
          </w:r>
          <w:proofErr w:type="gramEnd"/>
          <w:r w:rsidR="006133CC">
            <w:t>67</w:t>
          </w:r>
        </w:p>
        <w:p w14:paraId="7C1893C5" w14:textId="3B8B70AB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 xml:space="preserve">7. Дополнительная информация (в том числе факторы, влияющие на исход заболевания или </w:t>
          </w:r>
          <w:proofErr w:type="gramStart"/>
          <w:r>
            <w:t>состояния)</w:t>
          </w:r>
          <w:r w:rsidR="002C78CA">
            <w:t>…</w:t>
          </w:r>
          <w:proofErr w:type="gramEnd"/>
          <w:r w:rsidR="002C78CA">
            <w:t>………………………………………………………………………………………</w:t>
          </w:r>
          <w:r w:rsidR="006133CC">
            <w:t>68</w:t>
          </w:r>
        </w:p>
        <w:p w14:paraId="55E9ECBB" w14:textId="6F6E2310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Критерии оценки качества медицинской помощи</w:t>
          </w:r>
          <w:r w:rsidR="006133CC">
            <w:t>……………………</w:t>
          </w:r>
          <w:r w:rsidR="00DF096E">
            <w:t>……………………….</w:t>
          </w:r>
          <w:r w:rsidR="002C78CA">
            <w:t>..</w:t>
          </w:r>
          <w:r w:rsidR="006133CC">
            <w:t>70</w:t>
          </w:r>
        </w:p>
        <w:p w14:paraId="0A2BA36B" w14:textId="6F441FEF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Список литературы</w:t>
          </w:r>
          <w:r w:rsidR="002C78CA">
            <w:t>…………………………………………………………………………</w:t>
          </w:r>
          <w:proofErr w:type="gramStart"/>
          <w:r w:rsidR="002C78CA">
            <w:t>…….</w:t>
          </w:r>
          <w:proofErr w:type="gramEnd"/>
          <w:r w:rsidR="002C78CA">
            <w:t>.</w:t>
          </w:r>
          <w:r w:rsidR="000440CA">
            <w:t>7</w:t>
          </w:r>
          <w:r w:rsidR="002C78CA">
            <w:t>2</w:t>
          </w:r>
        </w:p>
        <w:p w14:paraId="4728FF69" w14:textId="238A0F3C" w:rsidR="00AE37FB" w:rsidRDefault="00F52CFD">
          <w:pPr>
            <w:pStyle w:val="12"/>
            <w:tabs>
              <w:tab w:val="left" w:pos="2640"/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Приложение А1</w:t>
          </w:r>
          <w:r w:rsidR="00B23789">
            <w:t>. Состав рабочей группы по разработке и пересмотру…………………………</w:t>
          </w:r>
          <w:r w:rsidR="000440CA">
            <w:t>……………………………………</w:t>
          </w:r>
          <w:r w:rsidR="00A82A13">
            <w:t>………………………</w:t>
          </w:r>
          <w:r w:rsidR="002C78CA">
            <w:t>…92</w:t>
          </w:r>
        </w:p>
        <w:p w14:paraId="0ADB3A30" w14:textId="02772A92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Приложение А2. Методология разработки клинических рекомендаций</w:t>
          </w:r>
        </w:p>
        <w:p w14:paraId="1753EB27" w14:textId="587C74A7" w:rsidR="00AE37FB" w:rsidRDefault="00F52CFD">
          <w:pPr>
            <w:pStyle w:val="12"/>
            <w:tabs>
              <w:tab w:val="right" w:leader="dot" w:pos="9770"/>
            </w:tabs>
            <w:spacing w:line="360" w:lineRule="auto"/>
          </w:pPr>
          <w:r>
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</w:r>
          <w:r w:rsidR="00EA1959">
            <w:t>………………………………………………………</w:t>
          </w:r>
          <w:r w:rsidR="002C78CA">
            <w:t>101</w:t>
          </w:r>
        </w:p>
        <w:p w14:paraId="0970F4FD" w14:textId="39940901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rPr>
              <w:rFonts w:eastAsia="Sans"/>
              <w:lang w:eastAsia="en-US"/>
            </w:rPr>
            <w:t>Приложение Б. Алгоритмы действий врача</w:t>
          </w:r>
          <w:r>
            <w:t xml:space="preserve"> </w:t>
          </w:r>
          <w:r w:rsidR="00B23789">
            <w:t>…………………………………………………</w:t>
          </w:r>
          <w:r w:rsidR="002C78CA">
            <w:t xml:space="preserve"> 101</w:t>
          </w:r>
        </w:p>
        <w:p w14:paraId="4D733BC4" w14:textId="77777777" w:rsidR="00AE37FB" w:rsidRDefault="00AE37FB"/>
        <w:p w14:paraId="58C8AE56" w14:textId="7F2A3923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rPr>
              <w:rFonts w:eastAsia="Sans"/>
              <w:lang w:eastAsia="en-US"/>
            </w:rPr>
            <w:t>Приложение В. Информация для пациента</w:t>
          </w:r>
          <w:r w:rsidR="002C78CA">
            <w:t>……………………………………………………104</w:t>
          </w:r>
        </w:p>
        <w:p w14:paraId="25D4F4CE" w14:textId="11DEE263" w:rsidR="00AE37FB" w:rsidRDefault="00F52CFD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r>
            <w:t>Приложение Г. Шкалы оценки, вопросники и другие оценочные инструменты состояния пациента, приведенные в клинических рекомендациях</w:t>
          </w:r>
          <w:r w:rsidR="005E76AD">
            <w:t>…………………………………</w:t>
          </w:r>
          <w:proofErr w:type="gramStart"/>
          <w:r w:rsidR="005E76AD">
            <w:t>…….</w:t>
          </w:r>
          <w:proofErr w:type="gramEnd"/>
          <w:r w:rsidR="00EA1959">
            <w:t>1</w:t>
          </w:r>
          <w:r w:rsidR="005E76AD">
            <w:t>04</w:t>
          </w:r>
          <w:r w:rsidR="00A4052B">
            <w:rPr>
              <w:b/>
            </w:rPr>
            <w:fldChar w:fldCharType="begin"/>
          </w:r>
          <w:r>
            <w:rPr>
              <w:b/>
            </w:rPr>
            <w:instrText xml:space="preserve"> TOC \o "1-3" \h \z \u </w:instrText>
          </w:r>
          <w:r w:rsidR="00A4052B">
            <w:rPr>
              <w:b/>
            </w:rPr>
            <w:fldChar w:fldCharType="separate"/>
          </w:r>
        </w:p>
        <w:p w14:paraId="75C05B53" w14:textId="77777777" w:rsidR="00AE37FB" w:rsidRDefault="00AE37FB">
          <w:pPr>
            <w:pStyle w:val="12"/>
            <w:tabs>
              <w:tab w:val="right" w:leader="dot" w:pos="9770"/>
            </w:tabs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</w:p>
        <w:p w14:paraId="6F7C6CD8" w14:textId="77777777" w:rsidR="00AE37FB" w:rsidRDefault="00AE37FB"/>
        <w:p w14:paraId="136897AD" w14:textId="77777777" w:rsidR="00AE37FB" w:rsidRDefault="00A4052B">
          <w:pPr>
            <w:spacing w:line="360" w:lineRule="auto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2E8F8F68" w14:textId="77777777" w:rsidR="00AE37FB" w:rsidRDefault="00F52CFD">
      <w:pPr>
        <w:rPr>
          <w:b/>
          <w:sz w:val="28"/>
          <w:szCs w:val="28"/>
        </w:rPr>
      </w:pPr>
      <w:r>
        <w:br w:type="page"/>
      </w:r>
      <w:r w:rsidR="003A3C84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45DAEA25" wp14:editId="7A5564E1">
                <wp:simplePos x="0" y="0"/>
                <wp:positionH relativeFrom="column">
                  <wp:posOffset>3100070</wp:posOffset>
                </wp:positionH>
                <wp:positionV relativeFrom="paragraph">
                  <wp:posOffset>-614680</wp:posOffset>
                </wp:positionV>
                <wp:extent cx="3368040" cy="1495425"/>
                <wp:effectExtent l="0" t="0" r="0" b="0"/>
                <wp:wrapSquare wrapText="bothSides"/>
                <wp:docPr id="1383034558" name="Rectangles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04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22AD" w14:textId="77777777" w:rsidR="009352B1" w:rsidRDefault="009352B1"/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5DAEA25" id="Rectangles 583" o:spid="_x0000_s1033" style="position:absolute;margin-left:244.1pt;margin-top:-48.4pt;width:265.2pt;height:117.7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uE3gEAALMDAAAOAAAAZHJzL2Uyb0RvYy54bWysU11v0zAUfUfiP1h+p2m7bmxR0wltKkIa&#10;DGnwAxzHaSwcX3Ov22T8eq6drqvgDZEHy/fDx/ccn6xvx96Jg0Gy4Cu5mM2lMF5DY/2ukt+/bd9d&#10;S0FR+UY58KaSz4bk7ebtm/UQSrOEDlxjUDCIp3IIlexiDGVRkO5Mr2gGwXgutoC9ihzirmhQDYze&#10;u2I5n18VA2ATELQh4uz9VJSbjN+2RsfHtiUThaskzxbzinmt01ps1qrcoQqd1ccx1D9M0Svr+dIT&#10;1L2KSuzR/gXVW41A0MaZhr6AtrXaZA7MZjH/g81Tp4LJXFgcCieZ6P/B6i+Hp/AV0+gUHkD/IFak&#10;GAKVp0oKiHtEPXyGht9Q7SNksmOLfTrJNMSYNX0+aWrGKDQnLy6urucrll5zbbG6uVwtL5PqhSpf&#10;jgek+NFAL9KmksiPluHV4YHi1PrSkucEZ5utdS4HuKvvHIqD4gfe5u+ITudtzqdmD+nYhJgymWei&#10;luxCZRzrUdimku8TRMrU0DwzcYTJN+xz3nSAv6QY2DOVpJ97hUYK98nzo9wsEjkRzwM8D+rzQHnN&#10;UJXUEaWYgrs4WXMf0O46vmuRhfDwgSVvbRbjda4jAXZGlvPo4mS98zh3vf5rm98AAAD//wMAUEsD&#10;BBQABgAIAAAAIQB/zoOa4gAAAAwBAAAPAAAAZHJzL2Rvd25yZXYueG1sTI9BTsMwEEX3SNzBGiQ2&#10;qLXbQuqGOBVCQhWFRZtyADc2SUQ8DrHThtszXcFuRvP05/1sPbqWnWwfGo8KZlMBzGLpTYOVgo/D&#10;y0QCC1Gj0a1Hq+DHBljn11eZTo0/496eilgxCsGQagV1jF3KeShr63SY+s4i3T5973Skta+46fWZ&#10;wl3L50Ik3OkG6UOtO/tc2/KrGJwC3Ivw9r15feDDblus3vXC3+02St3ejE+PwKId4x8MF31Sh5yc&#10;jn5AE1ir4F7KOaEKJquEOlwIMZMJsCNNC7kEnmf8f4n8FwAA//8DAFBLAQItABQABgAIAAAAIQC2&#10;gziS/gAAAOEBAAATAAAAAAAAAAAAAAAAAAAAAABbQ29udGVudF9UeXBlc10ueG1sUEsBAi0AFAAG&#10;AAgAAAAhADj9If/WAAAAlAEAAAsAAAAAAAAAAAAAAAAALwEAAF9yZWxzLy5yZWxzUEsBAi0AFAAG&#10;AAgAAAAhAGBMe4TeAQAAswMAAA4AAAAAAAAAAAAAAAAALgIAAGRycy9lMm9Eb2MueG1sUEsBAi0A&#10;FAAGAAgAAAAhAH/Og5riAAAADAEAAA8AAAAAAAAAAAAAAAAAOAQAAGRycy9kb3ducmV2LnhtbFBL&#10;BQYAAAAABAAEAPMAAABHBQAAAAA=&#10;" stroked="f">
                <v:path arrowok="t"/>
                <v:textbox inset="2.53958mm,2.53958mm,2.53958mm,2.53958mm">
                  <w:txbxContent>
                    <w:p w14:paraId="1DC122AD" w14:textId="77777777" w:rsidR="009352B1" w:rsidRDefault="009352B1"/>
                  </w:txbxContent>
                </v:textbox>
                <w10:wrap type="square"/>
              </v:rect>
            </w:pict>
          </mc:Fallback>
        </mc:AlternateContent>
      </w:r>
      <w:r>
        <w:t xml:space="preserve"> </w:t>
      </w:r>
    </w:p>
    <w:p w14:paraId="547D4E2A" w14:textId="77777777" w:rsidR="00AE37FB" w:rsidRDefault="00F52CFD">
      <w:pPr>
        <w:pStyle w:val="10"/>
        <w:spacing w:line="360" w:lineRule="auto"/>
        <w:rPr>
          <w:color w:val="000000" w:themeColor="text1"/>
          <w:sz w:val="28"/>
          <w:szCs w:val="28"/>
          <w:u w:val="none"/>
        </w:rPr>
      </w:pPr>
      <w:bookmarkStart w:id="0" w:name="_gjdgxs" w:colFirst="0" w:colLast="0"/>
      <w:bookmarkStart w:id="1" w:name="_Toc22739163"/>
      <w:bookmarkStart w:id="2" w:name="_Toc26477684"/>
      <w:bookmarkEnd w:id="0"/>
      <w:r>
        <w:rPr>
          <w:color w:val="000000" w:themeColor="text1"/>
          <w:sz w:val="28"/>
          <w:szCs w:val="28"/>
          <w:u w:val="none"/>
        </w:rPr>
        <w:t>Список сокращений</w:t>
      </w:r>
      <w:bookmarkEnd w:id="1"/>
      <w:bookmarkEnd w:id="2"/>
    </w:p>
    <w:p w14:paraId="662C82BD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  <w:lang w:val="en-US"/>
        </w:rPr>
        <w:t>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-блокаторы - блокаторы Н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-гистаминовых рецепторов</w:t>
      </w:r>
      <w:r w:rsidR="00500947">
        <w:rPr>
          <w:color w:val="000000" w:themeColor="text1"/>
        </w:rPr>
        <w:t xml:space="preserve"> (код АТХ</w:t>
      </w:r>
      <w:r w:rsidR="008129EF">
        <w:rPr>
          <w:color w:val="000000" w:themeColor="text1"/>
        </w:rPr>
        <w:t>: А02ВА)</w:t>
      </w:r>
    </w:p>
    <w:p w14:paraId="54A07290" w14:textId="77777777" w:rsidR="00AE37FB" w:rsidRPr="00966CA7" w:rsidRDefault="00F52CFD">
      <w:pPr>
        <w:spacing w:line="360" w:lineRule="auto"/>
        <w:rPr>
          <w:iCs/>
          <w:color w:val="000000" w:themeColor="text1"/>
        </w:rPr>
      </w:pPr>
      <w:r w:rsidRPr="00966CA7">
        <w:rPr>
          <w:iCs/>
          <w:color w:val="000000" w:themeColor="text1"/>
          <w:lang w:val="en-US"/>
        </w:rPr>
        <w:t>H</w:t>
      </w:r>
      <w:r w:rsidRPr="00966CA7">
        <w:rPr>
          <w:iCs/>
          <w:color w:val="000000" w:themeColor="text1"/>
        </w:rPr>
        <w:t xml:space="preserve">. </w:t>
      </w:r>
      <w:proofErr w:type="spellStart"/>
      <w:r w:rsidRPr="00966CA7">
        <w:rPr>
          <w:iCs/>
          <w:color w:val="000000" w:themeColor="text1"/>
        </w:rPr>
        <w:t>рylori</w:t>
      </w:r>
      <w:proofErr w:type="spellEnd"/>
      <w:r w:rsidRPr="00966CA7">
        <w:rPr>
          <w:iCs/>
          <w:color w:val="000000" w:themeColor="text1"/>
        </w:rPr>
        <w:t xml:space="preserve"> – </w:t>
      </w:r>
      <w:proofErr w:type="spellStart"/>
      <w:r w:rsidRPr="00966CA7">
        <w:rPr>
          <w:iCs/>
          <w:color w:val="000000" w:themeColor="text1"/>
        </w:rPr>
        <w:t>Helicobacter</w:t>
      </w:r>
      <w:proofErr w:type="spellEnd"/>
      <w:r w:rsidRPr="00966CA7">
        <w:rPr>
          <w:iCs/>
          <w:color w:val="000000" w:themeColor="text1"/>
        </w:rPr>
        <w:t xml:space="preserve"> </w:t>
      </w:r>
      <w:proofErr w:type="spellStart"/>
      <w:r w:rsidRPr="00966CA7">
        <w:rPr>
          <w:iCs/>
          <w:color w:val="000000" w:themeColor="text1"/>
        </w:rPr>
        <w:t>pylori</w:t>
      </w:r>
      <w:proofErr w:type="spellEnd"/>
    </w:p>
    <w:p w14:paraId="2A57D95A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АД - артериальное давление</w:t>
      </w:r>
    </w:p>
    <w:p w14:paraId="073A1FC6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АПК – </w:t>
      </w:r>
      <w:proofErr w:type="spellStart"/>
      <w:r>
        <w:rPr>
          <w:color w:val="000000" w:themeColor="text1"/>
        </w:rPr>
        <w:t>аргоноплазменная</w:t>
      </w:r>
      <w:proofErr w:type="spellEnd"/>
      <w:r>
        <w:rPr>
          <w:color w:val="000000" w:themeColor="text1"/>
        </w:rPr>
        <w:t xml:space="preserve"> коагуляция</w:t>
      </w:r>
    </w:p>
    <w:p w14:paraId="11EF26CC" w14:textId="4B999E1F" w:rsidR="009352B1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ВОПТ – верхни</w:t>
      </w:r>
      <w:r w:rsidR="009352B1">
        <w:rPr>
          <w:color w:val="000000" w:themeColor="text1"/>
        </w:rPr>
        <w:t>е отделы пищеварительного тракта</w:t>
      </w:r>
    </w:p>
    <w:p w14:paraId="73942DC8" w14:textId="121BB273" w:rsidR="009352B1" w:rsidRDefault="009352B1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ВРВП – варикозно-расширенные вены пищевода</w:t>
      </w:r>
    </w:p>
    <w:p w14:paraId="7BACEF9A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ГО – глобулярный объем</w:t>
      </w:r>
    </w:p>
    <w:p w14:paraId="3470ED71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ДИ – доверительный интервал</w:t>
      </w:r>
    </w:p>
    <w:p w14:paraId="6B51E3B0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ДПК – двенадцатиперстная кишка</w:t>
      </w:r>
    </w:p>
    <w:p w14:paraId="3F98B666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ЖКК - желудочно-кишечное кровотечение</w:t>
      </w:r>
    </w:p>
    <w:p w14:paraId="609A2A6A" w14:textId="77777777" w:rsidR="00E566B6" w:rsidRDefault="00E566B6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ЖКТ – желудочно-кишечный тракт</w:t>
      </w:r>
    </w:p>
    <w:p w14:paraId="155A09AA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ИВЛ – искусственная вентиляция легких</w:t>
      </w:r>
    </w:p>
    <w:p w14:paraId="3A317A7A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ИПН – ингибиторы протонного насоса</w:t>
      </w:r>
      <w:r w:rsidR="008129EF">
        <w:rPr>
          <w:color w:val="000000" w:themeColor="text1"/>
        </w:rPr>
        <w:t xml:space="preserve"> (Код АТХ: А02ВС01)</w:t>
      </w:r>
    </w:p>
    <w:p w14:paraId="17346B3F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КТ – компьютерная томография</w:t>
      </w:r>
    </w:p>
    <w:p w14:paraId="510309F5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МНО – международное нормализованное отношение</w:t>
      </w:r>
    </w:p>
    <w:p w14:paraId="7CA1CD13" w14:textId="77777777" w:rsidR="008129EF" w:rsidRDefault="008129E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МО – медицинская организация</w:t>
      </w:r>
    </w:p>
    <w:p w14:paraId="66454045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НПВП – нестероидные противовоспалительные </w:t>
      </w:r>
      <w:r w:rsidR="00E849F4">
        <w:rPr>
          <w:color w:val="000000" w:themeColor="text1"/>
        </w:rPr>
        <w:t xml:space="preserve">и противоревматические </w:t>
      </w:r>
      <w:r>
        <w:rPr>
          <w:color w:val="000000" w:themeColor="text1"/>
        </w:rPr>
        <w:t>препараты</w:t>
      </w:r>
      <w:r w:rsidR="008129EF">
        <w:rPr>
          <w:color w:val="000000" w:themeColor="text1"/>
        </w:rPr>
        <w:t xml:space="preserve"> (Код АТХ: А02ВА)</w:t>
      </w:r>
    </w:p>
    <w:p w14:paraId="139160F8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ОР – относительный риск</w:t>
      </w:r>
    </w:p>
    <w:p w14:paraId="4B41C7C2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ОРИТ – отделение реанимации и интенсивной терапии</w:t>
      </w:r>
    </w:p>
    <w:p w14:paraId="35994A20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ОЦК – объем циркулирующей крови</w:t>
      </w:r>
    </w:p>
    <w:p w14:paraId="54BD6FA3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ОШ – отношение шансо</w:t>
      </w:r>
      <w:r w:rsidR="00E95672">
        <w:rPr>
          <w:color w:val="000000" w:themeColor="text1"/>
        </w:rPr>
        <w:t>в</w:t>
      </w:r>
    </w:p>
    <w:p w14:paraId="02709B08" w14:textId="77777777" w:rsidR="00E95672" w:rsidRDefault="00E9567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ПЯ – прободная язва</w:t>
      </w:r>
    </w:p>
    <w:p w14:paraId="00BA4E3D" w14:textId="5BF1C8EC" w:rsidR="009352B1" w:rsidRPr="009352B1" w:rsidRDefault="009352B1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СМВ – синдром </w:t>
      </w:r>
      <w:proofErr w:type="spellStart"/>
      <w:r>
        <w:rPr>
          <w:color w:val="000000" w:themeColor="text1"/>
        </w:rPr>
        <w:t>Мэллори-Вейсса</w:t>
      </w:r>
      <w:proofErr w:type="spellEnd"/>
    </w:p>
    <w:p w14:paraId="34F83B14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СОЭ – скорость оседания эритроцитов</w:t>
      </w:r>
    </w:p>
    <w:p w14:paraId="31FF3873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ТАЭ – </w:t>
      </w:r>
      <w:proofErr w:type="spellStart"/>
      <w:r>
        <w:rPr>
          <w:color w:val="000000" w:themeColor="text1"/>
        </w:rPr>
        <w:t>транскатетерная</w:t>
      </w:r>
      <w:proofErr w:type="spellEnd"/>
      <w:r>
        <w:rPr>
          <w:color w:val="000000" w:themeColor="text1"/>
        </w:rPr>
        <w:t xml:space="preserve"> артериальная эмболизация</w:t>
      </w:r>
    </w:p>
    <w:p w14:paraId="27255784" w14:textId="56B9C0FA" w:rsidR="008129EF" w:rsidRDefault="008129E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УДД – уровень </w:t>
      </w:r>
      <w:r w:rsidR="00966CA7">
        <w:rPr>
          <w:color w:val="000000" w:themeColor="text1"/>
        </w:rPr>
        <w:t>достоверности доказательств</w:t>
      </w:r>
    </w:p>
    <w:p w14:paraId="5E9B1E38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УЗИ – ультразвуковое исследование</w:t>
      </w:r>
    </w:p>
    <w:p w14:paraId="7FE33E2E" w14:textId="77777777" w:rsidR="008129EF" w:rsidRDefault="008129E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УУР – уровень у</w:t>
      </w:r>
      <w:r w:rsidR="00E10E17">
        <w:rPr>
          <w:color w:val="000000" w:themeColor="text1"/>
        </w:rPr>
        <w:t>бедительности рекомендаций</w:t>
      </w:r>
    </w:p>
    <w:p w14:paraId="4BD563DF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ЧБНЛ – число больных, которых необходимо лечить</w:t>
      </w:r>
    </w:p>
    <w:p w14:paraId="546530E9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ЧСС – частота сердечных сокращений</w:t>
      </w:r>
    </w:p>
    <w:p w14:paraId="49123EC0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ЭГДС – </w:t>
      </w:r>
      <w:proofErr w:type="spellStart"/>
      <w:r>
        <w:rPr>
          <w:color w:val="000000" w:themeColor="text1"/>
        </w:rPr>
        <w:t>эзофагогастродуоденоскопия</w:t>
      </w:r>
      <w:proofErr w:type="spellEnd"/>
    </w:p>
    <w:p w14:paraId="5BFE1900" w14:textId="77777777" w:rsidR="00E10E17" w:rsidRDefault="00E10E1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ЭЭС – эндоваскулярная эмболизация сосудов</w:t>
      </w:r>
    </w:p>
    <w:p w14:paraId="3E11F941" w14:textId="77777777" w:rsidR="00AE37FB" w:rsidRDefault="00F52CF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ЯБ – язвенная болезнь</w:t>
      </w:r>
    </w:p>
    <w:p w14:paraId="0BC5BD85" w14:textId="307A0368" w:rsidR="00B610A2" w:rsidRDefault="00F52CFD" w:rsidP="008156B7">
      <w:pPr>
        <w:spacing w:line="360" w:lineRule="auto"/>
      </w:pPr>
      <w:r>
        <w:rPr>
          <w:color w:val="000000" w:themeColor="text1"/>
        </w:rPr>
        <w:t xml:space="preserve">ЯГДК – язвенные </w:t>
      </w:r>
      <w:proofErr w:type="spellStart"/>
      <w:r>
        <w:rPr>
          <w:color w:val="000000" w:themeColor="text1"/>
        </w:rPr>
        <w:t>гастродуоденальные</w:t>
      </w:r>
      <w:proofErr w:type="spellEnd"/>
      <w:r>
        <w:rPr>
          <w:color w:val="000000" w:themeColor="text1"/>
        </w:rPr>
        <w:t xml:space="preserve"> кровотечен</w:t>
      </w:r>
      <w:r w:rsidR="00ED0B40">
        <w:rPr>
          <w:color w:val="000000" w:themeColor="text1"/>
        </w:rPr>
        <w:t>ия</w:t>
      </w:r>
      <w:bookmarkStart w:id="3" w:name="_30j0zll" w:colFirst="0" w:colLast="0"/>
      <w:bookmarkStart w:id="4" w:name="_Toc26477685"/>
      <w:bookmarkStart w:id="5" w:name="_Toc22739164"/>
      <w:bookmarkEnd w:id="3"/>
    </w:p>
    <w:p w14:paraId="3C044A0B" w14:textId="77777777" w:rsidR="0028412A" w:rsidRDefault="0028412A">
      <w:pPr>
        <w:pStyle w:val="10"/>
        <w:spacing w:line="360" w:lineRule="auto"/>
        <w:rPr>
          <w:sz w:val="28"/>
          <w:szCs w:val="28"/>
          <w:u w:val="none"/>
        </w:rPr>
      </w:pPr>
    </w:p>
    <w:p w14:paraId="0B9960B7" w14:textId="77777777" w:rsidR="00AE37FB" w:rsidRPr="001E14C3" w:rsidRDefault="00F52CFD">
      <w:pPr>
        <w:pStyle w:val="10"/>
        <w:spacing w:line="360" w:lineRule="auto"/>
        <w:rPr>
          <w:color w:val="000000" w:themeColor="text1"/>
          <w:sz w:val="28"/>
          <w:szCs w:val="28"/>
          <w:u w:val="none"/>
        </w:rPr>
      </w:pPr>
      <w:r w:rsidRPr="001E14C3">
        <w:rPr>
          <w:color w:val="000000" w:themeColor="text1"/>
          <w:sz w:val="28"/>
          <w:szCs w:val="28"/>
          <w:u w:val="none"/>
        </w:rPr>
        <w:t>Термины и определения</w:t>
      </w:r>
      <w:bookmarkEnd w:id="4"/>
      <w:bookmarkEnd w:id="5"/>
    </w:p>
    <w:p w14:paraId="213DA9E0" w14:textId="1A46ADA5" w:rsidR="00ED0B40" w:rsidRPr="001E14C3" w:rsidRDefault="009352B1" w:rsidP="009352B1">
      <w:p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Синдром </w:t>
      </w:r>
      <w:proofErr w:type="spellStart"/>
      <w:r>
        <w:rPr>
          <w:b/>
          <w:color w:val="000000" w:themeColor="text1"/>
        </w:rPr>
        <w:t>Мэллори-Вейсса</w:t>
      </w:r>
      <w:proofErr w:type="spellEnd"/>
      <w:r>
        <w:rPr>
          <w:b/>
          <w:color w:val="000000" w:themeColor="text1"/>
        </w:rPr>
        <w:t xml:space="preserve"> </w:t>
      </w:r>
      <w:r w:rsidRPr="001E14C3">
        <w:rPr>
          <w:color w:val="000000" w:themeColor="text1"/>
        </w:rPr>
        <w:t>–</w:t>
      </w:r>
      <w:r w:rsidR="00F52CFD" w:rsidRPr="001E14C3">
        <w:rPr>
          <w:color w:val="000000" w:themeColor="text1"/>
        </w:rPr>
        <w:t xml:space="preserve"> </w:t>
      </w:r>
      <w:r w:rsidRPr="009352B1">
        <w:rPr>
          <w:color w:val="000000" w:themeColor="text1"/>
        </w:rPr>
        <w:t>образование острых линейных разрывов слизистой оболочки брюшного отдела пищевода и кардиального отдела желудка при рецидивирующей рвоте, сопровождающиеся кровотечением.</w:t>
      </w:r>
    </w:p>
    <w:p w14:paraId="55AAC486" w14:textId="68E82833" w:rsidR="00FC32CA" w:rsidRPr="001E14C3" w:rsidRDefault="00F52CFD" w:rsidP="00FC32CA">
      <w:pPr>
        <w:spacing w:line="360" w:lineRule="auto"/>
        <w:rPr>
          <w:color w:val="000000" w:themeColor="text1"/>
        </w:rPr>
      </w:pPr>
      <w:r w:rsidRPr="001E14C3">
        <w:rPr>
          <w:b/>
          <w:color w:val="000000" w:themeColor="text1"/>
        </w:rPr>
        <w:t xml:space="preserve">Перенесенное (состоявшееся) </w:t>
      </w:r>
      <w:r w:rsidR="009352B1">
        <w:rPr>
          <w:b/>
          <w:color w:val="000000" w:themeColor="text1"/>
        </w:rPr>
        <w:t>пищеводно-желудочное</w:t>
      </w:r>
      <w:r w:rsidRPr="001E14C3">
        <w:rPr>
          <w:b/>
          <w:color w:val="000000" w:themeColor="text1"/>
        </w:rPr>
        <w:t xml:space="preserve"> кровотечение</w:t>
      </w:r>
      <w:r w:rsidRPr="001E14C3">
        <w:rPr>
          <w:color w:val="000000" w:themeColor="text1"/>
        </w:rPr>
        <w:t xml:space="preserve"> – клинический термин, отражающий объективно подтверждённый факт того, что у пациента произошло (состоялось) </w:t>
      </w:r>
      <w:proofErr w:type="spellStart"/>
      <w:r w:rsidRPr="001E14C3">
        <w:rPr>
          <w:color w:val="000000" w:themeColor="text1"/>
        </w:rPr>
        <w:t>внутрипросветное</w:t>
      </w:r>
      <w:proofErr w:type="spellEnd"/>
      <w:r w:rsidRPr="001E14C3">
        <w:rPr>
          <w:color w:val="000000" w:themeColor="text1"/>
        </w:rPr>
        <w:t xml:space="preserve"> кровотечение из </w:t>
      </w:r>
      <w:r w:rsidR="009352B1">
        <w:rPr>
          <w:color w:val="000000" w:themeColor="text1"/>
        </w:rPr>
        <w:t>разрыва пищевода и/или желудка</w:t>
      </w:r>
      <w:r w:rsidRPr="001E14C3">
        <w:rPr>
          <w:color w:val="000000" w:themeColor="text1"/>
        </w:rPr>
        <w:t xml:space="preserve">. Термин чаще используется для характеристики кровотечения, самостоятельно остановившегося на момент диагностики. </w:t>
      </w:r>
    </w:p>
    <w:p w14:paraId="6DCB1C1D" w14:textId="2E1C8448" w:rsidR="00AE37FB" w:rsidRPr="001E14C3" w:rsidRDefault="00F52CFD">
      <w:pPr>
        <w:spacing w:line="360" w:lineRule="auto"/>
        <w:rPr>
          <w:color w:val="000000" w:themeColor="text1"/>
        </w:rPr>
      </w:pPr>
      <w:r w:rsidRPr="001E14C3">
        <w:rPr>
          <w:b/>
          <w:color w:val="000000" w:themeColor="text1"/>
        </w:rPr>
        <w:t xml:space="preserve">Продолжающееся </w:t>
      </w:r>
      <w:r w:rsidR="009352B1">
        <w:rPr>
          <w:b/>
          <w:color w:val="000000" w:themeColor="text1"/>
        </w:rPr>
        <w:t>пищеводно-желудочное</w:t>
      </w:r>
      <w:r w:rsidRPr="001E14C3">
        <w:rPr>
          <w:b/>
          <w:color w:val="000000" w:themeColor="text1"/>
        </w:rPr>
        <w:t xml:space="preserve"> кровотечение</w:t>
      </w:r>
      <w:r w:rsidRPr="001E14C3">
        <w:rPr>
          <w:color w:val="000000" w:themeColor="text1"/>
        </w:rPr>
        <w:t xml:space="preserve"> – кровотечение </w:t>
      </w:r>
      <w:r w:rsidR="009352B1">
        <w:rPr>
          <w:color w:val="000000" w:themeColor="text1"/>
        </w:rPr>
        <w:t>из разрывов стенки пищевода и/или желудка</w:t>
      </w:r>
      <w:r w:rsidRPr="001E14C3">
        <w:rPr>
          <w:color w:val="000000" w:themeColor="text1"/>
        </w:rPr>
        <w:t xml:space="preserve">, при котором в момент выполнения эндоскопического исследования или хирургического вмешательства отмечается поступление крови из </w:t>
      </w:r>
      <w:r w:rsidR="009352B1">
        <w:rPr>
          <w:color w:val="000000" w:themeColor="text1"/>
        </w:rPr>
        <w:t>области разрыва</w:t>
      </w:r>
      <w:r w:rsidRPr="001E14C3">
        <w:rPr>
          <w:color w:val="000000" w:themeColor="text1"/>
        </w:rPr>
        <w:t xml:space="preserve">. Признаком продолжающегося кровотечения во время эндоваскулярного вмешательства </w:t>
      </w:r>
      <w:r w:rsidR="009352B1" w:rsidRPr="001E14C3">
        <w:rPr>
          <w:color w:val="000000" w:themeColor="text1"/>
        </w:rPr>
        <w:t>служит поступление</w:t>
      </w:r>
      <w:r w:rsidRPr="001E14C3">
        <w:rPr>
          <w:color w:val="000000" w:themeColor="text1"/>
        </w:rPr>
        <w:t xml:space="preserve"> контрастного вещества за пределы сосудистого русла (</w:t>
      </w:r>
      <w:proofErr w:type="spellStart"/>
      <w:r w:rsidRPr="001E14C3">
        <w:rPr>
          <w:color w:val="000000" w:themeColor="text1"/>
        </w:rPr>
        <w:t>экстравазация</w:t>
      </w:r>
      <w:proofErr w:type="spellEnd"/>
      <w:r w:rsidRPr="001E14C3">
        <w:rPr>
          <w:color w:val="000000" w:themeColor="text1"/>
        </w:rPr>
        <w:t xml:space="preserve">). </w:t>
      </w:r>
    </w:p>
    <w:p w14:paraId="0AEB2F0A" w14:textId="5F0B3E24" w:rsidR="00FC32CA" w:rsidRPr="001E14C3" w:rsidRDefault="00F52CFD" w:rsidP="009352B1">
      <w:pPr>
        <w:spacing w:line="360" w:lineRule="auto"/>
        <w:rPr>
          <w:color w:val="000000" w:themeColor="text1"/>
        </w:rPr>
      </w:pPr>
      <w:r w:rsidRPr="001E14C3">
        <w:rPr>
          <w:b/>
          <w:color w:val="000000" w:themeColor="text1"/>
        </w:rPr>
        <w:t>Рецидив</w:t>
      </w:r>
      <w:r w:rsidR="009352B1">
        <w:rPr>
          <w:b/>
          <w:color w:val="000000" w:themeColor="text1"/>
        </w:rPr>
        <w:t xml:space="preserve"> пищеводно-желудочного</w:t>
      </w:r>
      <w:r w:rsidRPr="001E14C3">
        <w:rPr>
          <w:b/>
          <w:color w:val="000000" w:themeColor="text1"/>
        </w:rPr>
        <w:t xml:space="preserve"> кровотечения (рецидивирующее </w:t>
      </w:r>
      <w:proofErr w:type="spellStart"/>
      <w:r w:rsidR="009352B1">
        <w:rPr>
          <w:b/>
          <w:color w:val="000000" w:themeColor="text1"/>
        </w:rPr>
        <w:t>пизеводно</w:t>
      </w:r>
      <w:proofErr w:type="spellEnd"/>
      <w:r w:rsidR="009352B1">
        <w:rPr>
          <w:b/>
          <w:color w:val="000000" w:themeColor="text1"/>
        </w:rPr>
        <w:t>-желудочное</w:t>
      </w:r>
      <w:r w:rsidRPr="001E14C3">
        <w:rPr>
          <w:b/>
          <w:color w:val="000000" w:themeColor="text1"/>
        </w:rPr>
        <w:t xml:space="preserve"> кровотечение) –</w:t>
      </w:r>
      <w:r w:rsidRPr="001E14C3">
        <w:rPr>
          <w:color w:val="000000" w:themeColor="text1"/>
        </w:rPr>
        <w:t xml:space="preserve"> возобновление кровотечения </w:t>
      </w:r>
      <w:r w:rsidR="009352B1">
        <w:rPr>
          <w:color w:val="000000" w:themeColor="text1"/>
        </w:rPr>
        <w:t>из того же разрыва стенки пищевода и/или желудка</w:t>
      </w:r>
      <w:r w:rsidRPr="001E14C3">
        <w:rPr>
          <w:color w:val="000000" w:themeColor="text1"/>
        </w:rPr>
        <w:t>, котор</w:t>
      </w:r>
      <w:r w:rsidR="009352B1">
        <w:rPr>
          <w:color w:val="000000" w:themeColor="text1"/>
        </w:rPr>
        <w:t>ый послужил</w:t>
      </w:r>
      <w:r w:rsidRPr="001E14C3">
        <w:rPr>
          <w:color w:val="000000" w:themeColor="text1"/>
        </w:rPr>
        <w:t xml:space="preserve"> источником первичного кровотечения, после его спонтанной или эндоскопической остановки, либо после хирургического вмешательства. В большинстве случаев рецидив кровотечения развивается в процессе пребывания пациента в стационаре.</w:t>
      </w:r>
    </w:p>
    <w:p w14:paraId="7B785684" w14:textId="77777777" w:rsidR="00FC32CA" w:rsidRPr="001E14C3" w:rsidRDefault="000440CA" w:rsidP="00FC32CA">
      <w:pPr>
        <w:pStyle w:val="23"/>
        <w:spacing w:line="413" w:lineRule="exact"/>
        <w:jc w:val="both"/>
        <w:rPr>
          <w:color w:val="000000" w:themeColor="text1"/>
          <w:sz w:val="24"/>
          <w:szCs w:val="24"/>
        </w:rPr>
      </w:pPr>
      <w:r w:rsidRPr="001E14C3">
        <w:rPr>
          <w:rStyle w:val="24"/>
          <w:color w:val="000000" w:themeColor="text1"/>
          <w:sz w:val="24"/>
          <w:szCs w:val="24"/>
        </w:rPr>
        <w:tab/>
      </w:r>
      <w:r w:rsidR="00FC32CA" w:rsidRPr="001E14C3">
        <w:rPr>
          <w:rStyle w:val="24"/>
          <w:color w:val="000000" w:themeColor="text1"/>
          <w:sz w:val="24"/>
          <w:szCs w:val="24"/>
        </w:rPr>
        <w:t xml:space="preserve">Хирургическое вмешательство </w:t>
      </w:r>
      <w:r w:rsidR="00FC32CA" w:rsidRPr="001E14C3">
        <w:rPr>
          <w:color w:val="000000" w:themeColor="text1"/>
          <w:sz w:val="24"/>
          <w:szCs w:val="24"/>
        </w:rPr>
        <w:t>- инвазивная процедура, может использоваться в целях диагностики и/или как метод лечения заболеваний.</w:t>
      </w:r>
    </w:p>
    <w:p w14:paraId="529BF585" w14:textId="77777777" w:rsidR="00FC32CA" w:rsidRPr="001E14C3" w:rsidRDefault="00FC32CA" w:rsidP="00FC32CA">
      <w:pPr>
        <w:pStyle w:val="23"/>
        <w:spacing w:line="360" w:lineRule="auto"/>
        <w:jc w:val="both"/>
        <w:rPr>
          <w:color w:val="000000" w:themeColor="text1"/>
          <w:sz w:val="24"/>
          <w:szCs w:val="24"/>
        </w:rPr>
      </w:pPr>
      <w:r w:rsidRPr="001E14C3">
        <w:rPr>
          <w:rStyle w:val="24"/>
          <w:color w:val="000000" w:themeColor="text1"/>
          <w:sz w:val="24"/>
          <w:szCs w:val="24"/>
        </w:rPr>
        <w:tab/>
        <w:t xml:space="preserve">Хирургическое лечение </w:t>
      </w:r>
      <w:r w:rsidRPr="001E14C3">
        <w:rPr>
          <w:color w:val="000000" w:themeColor="text1"/>
          <w:sz w:val="24"/>
          <w:szCs w:val="24"/>
        </w:rPr>
        <w:t>- метод лечения заболеваний путём разъединения и соединения тканей в ходе хирургической операции.</w:t>
      </w:r>
    </w:p>
    <w:p w14:paraId="4426DAFD" w14:textId="77777777" w:rsidR="00AE37FB" w:rsidRPr="001E14C3" w:rsidRDefault="00F52CFD" w:rsidP="00FC32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color w:val="000000" w:themeColor="text1"/>
        </w:rPr>
      </w:pPr>
      <w:r w:rsidRPr="001E14C3">
        <w:rPr>
          <w:b/>
          <w:bCs/>
          <w:color w:val="000000" w:themeColor="text1"/>
        </w:rPr>
        <w:t xml:space="preserve">Эндоваскулярное лечение </w:t>
      </w:r>
      <w:r w:rsidRPr="001E14C3">
        <w:rPr>
          <w:color w:val="000000" w:themeColor="text1"/>
        </w:rPr>
        <w:t>– хирургическое вмешательство, проводимое на кровеносных сосудах чрескожным доступом под контролем методов лучевой визуализации.</w:t>
      </w:r>
    </w:p>
    <w:p w14:paraId="21ABF66D" w14:textId="77777777" w:rsidR="00AE37FB" w:rsidRPr="001E14C3" w:rsidRDefault="00F52CFD" w:rsidP="00FC32CA">
      <w:pPr>
        <w:spacing w:line="360" w:lineRule="auto"/>
        <w:rPr>
          <w:color w:val="000000" w:themeColor="text1"/>
        </w:rPr>
      </w:pPr>
      <w:r w:rsidRPr="001E14C3">
        <w:rPr>
          <w:b/>
          <w:color w:val="000000" w:themeColor="text1"/>
        </w:rPr>
        <w:lastRenderedPageBreak/>
        <w:t>Эрадикация</w:t>
      </w:r>
      <w:r w:rsidRPr="001E14C3">
        <w:rPr>
          <w:color w:val="000000" w:themeColor="text1"/>
        </w:rPr>
        <w:t xml:space="preserve"> – лечение, направленное на уничтожение инфекции </w:t>
      </w:r>
      <w:proofErr w:type="spellStart"/>
      <w:r w:rsidRPr="001E14C3">
        <w:rPr>
          <w:i/>
          <w:iCs/>
          <w:color w:val="000000" w:themeColor="text1"/>
        </w:rPr>
        <w:t>Helicobacter</w:t>
      </w:r>
      <w:proofErr w:type="spellEnd"/>
      <w:r w:rsidRPr="001E14C3">
        <w:rPr>
          <w:i/>
          <w:iCs/>
          <w:color w:val="000000" w:themeColor="text1"/>
        </w:rPr>
        <w:t xml:space="preserve"> </w:t>
      </w:r>
      <w:proofErr w:type="spellStart"/>
      <w:r w:rsidRPr="001E14C3">
        <w:rPr>
          <w:i/>
          <w:iCs/>
          <w:color w:val="000000" w:themeColor="text1"/>
        </w:rPr>
        <w:t>pylori</w:t>
      </w:r>
      <w:proofErr w:type="spellEnd"/>
      <w:r w:rsidRPr="001E14C3">
        <w:rPr>
          <w:color w:val="000000" w:themeColor="text1"/>
        </w:rPr>
        <w:t xml:space="preserve"> </w:t>
      </w:r>
      <w:r w:rsidRPr="001E14C3">
        <w:rPr>
          <w:i/>
          <w:iCs/>
          <w:color w:val="000000" w:themeColor="text1"/>
        </w:rPr>
        <w:t xml:space="preserve">(H. </w:t>
      </w:r>
      <w:proofErr w:type="spellStart"/>
      <w:r w:rsidRPr="001E14C3">
        <w:rPr>
          <w:i/>
          <w:iCs/>
          <w:color w:val="000000" w:themeColor="text1"/>
        </w:rPr>
        <w:t>pylori</w:t>
      </w:r>
      <w:proofErr w:type="spellEnd"/>
      <w:r w:rsidRPr="001E14C3">
        <w:rPr>
          <w:i/>
          <w:iCs/>
          <w:color w:val="000000" w:themeColor="text1"/>
        </w:rPr>
        <w:t>)</w:t>
      </w:r>
    </w:p>
    <w:p w14:paraId="5D197742" w14:textId="77777777" w:rsidR="00AE37FB" w:rsidRPr="001E14C3" w:rsidRDefault="00F52CFD" w:rsidP="00FC32CA">
      <w:pPr>
        <w:spacing w:line="360" w:lineRule="auto"/>
        <w:rPr>
          <w:color w:val="000000" w:themeColor="text1"/>
        </w:rPr>
      </w:pPr>
      <w:r w:rsidRPr="001E14C3">
        <w:rPr>
          <w:b/>
          <w:color w:val="000000" w:themeColor="text1"/>
        </w:rPr>
        <w:t>Схема эрадикации 1-й линии</w:t>
      </w:r>
      <w:r w:rsidRPr="001E14C3">
        <w:rPr>
          <w:color w:val="000000" w:themeColor="text1"/>
        </w:rPr>
        <w:t xml:space="preserve"> - схема эрадикации инфекции </w:t>
      </w:r>
      <w:r w:rsidRPr="001E14C3">
        <w:rPr>
          <w:i/>
          <w:iCs/>
          <w:color w:val="000000" w:themeColor="text1"/>
        </w:rPr>
        <w:t xml:space="preserve">H </w:t>
      </w:r>
      <w:proofErr w:type="spellStart"/>
      <w:r w:rsidRPr="001E14C3">
        <w:rPr>
          <w:i/>
          <w:iCs/>
          <w:color w:val="000000" w:themeColor="text1"/>
        </w:rPr>
        <w:t>pylori</w:t>
      </w:r>
      <w:proofErr w:type="spellEnd"/>
      <w:r w:rsidRPr="001E14C3">
        <w:rPr>
          <w:color w:val="000000" w:themeColor="text1"/>
        </w:rPr>
        <w:t xml:space="preserve">, которая назначается в первую очередь. </w:t>
      </w:r>
    </w:p>
    <w:p w14:paraId="3500F9A4" w14:textId="77777777" w:rsidR="00FC32CA" w:rsidRPr="001E14C3" w:rsidRDefault="00F52CFD" w:rsidP="00FC32CA">
      <w:pPr>
        <w:spacing w:line="360" w:lineRule="auto"/>
        <w:rPr>
          <w:i/>
          <w:iCs/>
          <w:color w:val="000000" w:themeColor="text1"/>
        </w:rPr>
      </w:pPr>
      <w:r w:rsidRPr="001E14C3">
        <w:rPr>
          <w:b/>
          <w:color w:val="000000" w:themeColor="text1"/>
        </w:rPr>
        <w:t>Схема эрадикации 2-й линии</w:t>
      </w:r>
      <w:r w:rsidRPr="001E14C3">
        <w:rPr>
          <w:color w:val="000000" w:themeColor="text1"/>
        </w:rPr>
        <w:t xml:space="preserve"> - схема эрадикации, которая назначается при неэффективности схемы 1-й линии </w:t>
      </w:r>
      <w:r w:rsidRPr="001E14C3">
        <w:rPr>
          <w:i/>
          <w:iCs/>
          <w:color w:val="000000" w:themeColor="text1"/>
        </w:rPr>
        <w:t xml:space="preserve">H. </w:t>
      </w:r>
      <w:proofErr w:type="spellStart"/>
      <w:r w:rsidRPr="001E14C3">
        <w:rPr>
          <w:i/>
          <w:iCs/>
          <w:color w:val="000000" w:themeColor="text1"/>
        </w:rPr>
        <w:t>pylori</w:t>
      </w:r>
      <w:proofErr w:type="spellEnd"/>
      <w:r w:rsidRPr="001E14C3">
        <w:rPr>
          <w:i/>
          <w:iCs/>
          <w:color w:val="000000" w:themeColor="text1"/>
        </w:rPr>
        <w:t>.</w:t>
      </w:r>
    </w:p>
    <w:p w14:paraId="261FD1EA" w14:textId="77777777" w:rsidR="00AE37FB" w:rsidRPr="001E14C3" w:rsidRDefault="00AE37FB">
      <w:pPr>
        <w:spacing w:line="360" w:lineRule="auto"/>
        <w:rPr>
          <w:i/>
          <w:iCs/>
          <w:color w:val="000000" w:themeColor="text1"/>
        </w:rPr>
      </w:pPr>
    </w:p>
    <w:p w14:paraId="2DC4D4E3" w14:textId="77777777" w:rsidR="00AE37FB" w:rsidRDefault="00F52CFD">
      <w:pPr>
        <w:spacing w:line="360" w:lineRule="auto"/>
        <w:rPr>
          <w:rFonts w:eastAsia="Sans" w:cstheme="minorBidi"/>
          <w:sz w:val="28"/>
          <w:szCs w:val="28"/>
          <w:lang w:eastAsia="en-US"/>
        </w:rPr>
      </w:pPr>
      <w:bookmarkStart w:id="6" w:name="_1fob9te" w:colFirst="0" w:colLast="0"/>
      <w:bookmarkEnd w:id="6"/>
      <w:r>
        <w:rPr>
          <w:b/>
          <w:szCs w:val="28"/>
        </w:rPr>
        <w:br w:type="page"/>
      </w:r>
    </w:p>
    <w:p w14:paraId="7327E69C" w14:textId="77777777" w:rsidR="00AE37FB" w:rsidRDefault="00F52CFD">
      <w:pPr>
        <w:pStyle w:val="afb"/>
        <w:spacing w:line="360" w:lineRule="auto"/>
      </w:pPr>
      <w:bookmarkStart w:id="7" w:name="_Toc26477686"/>
      <w:r>
        <w:rPr>
          <w:b w:val="0"/>
          <w:szCs w:val="28"/>
        </w:rPr>
        <w:lastRenderedPageBreak/>
        <w:t xml:space="preserve">1. </w:t>
      </w:r>
      <w:r>
        <w:t>Краткая информация по заболеванию или состоянию (группе заболеваний или состояний)</w:t>
      </w:r>
      <w:bookmarkEnd w:id="7"/>
    </w:p>
    <w:p w14:paraId="5CC6E492" w14:textId="77777777" w:rsidR="00AE37FB" w:rsidRDefault="00F52CFD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8" w:name="_3znysh7" w:colFirst="0" w:colLast="0"/>
      <w:bookmarkStart w:id="9" w:name="_Toc26477687"/>
      <w:bookmarkEnd w:id="8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1.1 Определение заболевания или состояния (группы заболеваний или состояний)</w:t>
      </w:r>
      <w:bookmarkEnd w:id="9"/>
    </w:p>
    <w:p w14:paraId="5A9C0ED2" w14:textId="77777777" w:rsidR="009352B1" w:rsidRPr="001E14C3" w:rsidRDefault="009352B1" w:rsidP="009352B1">
      <w:p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Синдром </w:t>
      </w:r>
      <w:proofErr w:type="spellStart"/>
      <w:r>
        <w:rPr>
          <w:b/>
          <w:color w:val="000000" w:themeColor="text1"/>
        </w:rPr>
        <w:t>Мэллори-Вейсса</w:t>
      </w:r>
      <w:proofErr w:type="spellEnd"/>
      <w:r>
        <w:rPr>
          <w:b/>
          <w:color w:val="000000" w:themeColor="text1"/>
        </w:rPr>
        <w:t xml:space="preserve"> </w:t>
      </w:r>
      <w:r w:rsidRPr="001E14C3">
        <w:rPr>
          <w:color w:val="000000" w:themeColor="text1"/>
        </w:rPr>
        <w:t xml:space="preserve">– </w:t>
      </w:r>
      <w:r w:rsidRPr="009352B1">
        <w:rPr>
          <w:color w:val="000000" w:themeColor="text1"/>
        </w:rPr>
        <w:t>образование острых линейных разрывов слизистой оболочки брюшного отдела пищевода и кардиального отдела желудка при рецидивирующей рвоте, сопровождающиеся кровотечением.</w:t>
      </w:r>
    </w:p>
    <w:p w14:paraId="671BEE6F" w14:textId="77777777" w:rsidR="00AE37FB" w:rsidRDefault="00F52CFD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10" w:name="_2et92p0" w:colFirst="0" w:colLast="0"/>
      <w:bookmarkStart w:id="11" w:name="_Toc11747731"/>
      <w:bookmarkStart w:id="12" w:name="_Toc16510467"/>
      <w:bookmarkStart w:id="13" w:name="_Toc26477688"/>
      <w:bookmarkEnd w:id="10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1.2 Этиология и патогенез</w:t>
      </w:r>
      <w:bookmarkEnd w:id="11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заболевания или состояния (группы заболеваний или состояний)</w:t>
      </w:r>
      <w:bookmarkEnd w:id="12"/>
      <w:bookmarkEnd w:id="13"/>
    </w:p>
    <w:p w14:paraId="471B52B6" w14:textId="38FA7CF3" w:rsidR="004A69FF" w:rsidRDefault="004A69FF" w:rsidP="004A69FF">
      <w:pPr>
        <w:spacing w:line="360" w:lineRule="auto"/>
      </w:pPr>
      <w:r w:rsidRPr="004A69FF">
        <w:t>Причиной разрывов, как правило, является многократная рвота, сопровождающаяся повышением внутрижелудочного или в</w:t>
      </w:r>
      <w:r w:rsidR="00CB2BFB">
        <w:t xml:space="preserve">нутрибрюшного давления, а также </w:t>
      </w:r>
      <w:proofErr w:type="spellStart"/>
      <w:r w:rsidRPr="004A69FF">
        <w:t>кардиоэзофагеальным</w:t>
      </w:r>
      <w:proofErr w:type="spellEnd"/>
      <w:r w:rsidRPr="004A69FF">
        <w:t xml:space="preserve"> спазмом</w:t>
      </w:r>
      <w:r w:rsidR="00CB2BFB">
        <w:t>.</w:t>
      </w:r>
    </w:p>
    <w:p w14:paraId="2C5CA714" w14:textId="77777777" w:rsidR="00CB2BFB" w:rsidRDefault="00CB2BFB" w:rsidP="004A69FF">
      <w:pPr>
        <w:spacing w:line="360" w:lineRule="auto"/>
      </w:pPr>
    </w:p>
    <w:p w14:paraId="51D4B7DB" w14:textId="77777777" w:rsidR="00CB2BFB" w:rsidRPr="00CB2BFB" w:rsidRDefault="00CB2BFB" w:rsidP="00CB2BFB">
      <w:pPr>
        <w:spacing w:line="360" w:lineRule="auto"/>
        <w:rPr>
          <w:b/>
        </w:rPr>
      </w:pPr>
      <w:r w:rsidRPr="00CB2BFB">
        <w:rPr>
          <w:b/>
        </w:rPr>
        <w:t>Основные этиологические факторы:</w:t>
      </w:r>
    </w:p>
    <w:p w14:paraId="689E3442" w14:textId="77777777" w:rsidR="00CB2BFB" w:rsidRPr="00CB2BFB" w:rsidRDefault="00CB2BFB" w:rsidP="00A109C4">
      <w:pPr>
        <w:numPr>
          <w:ilvl w:val="0"/>
          <w:numId w:val="9"/>
        </w:numPr>
        <w:spacing w:line="360" w:lineRule="auto"/>
      </w:pPr>
      <w:r w:rsidRPr="00CB2BFB">
        <w:rPr>
          <w:bCs/>
        </w:rPr>
        <w:t>Рвота:</w:t>
      </w:r>
    </w:p>
    <w:p w14:paraId="1847B0CE" w14:textId="77777777" w:rsidR="00CB2BFB" w:rsidRPr="00CB2BFB" w:rsidRDefault="00CB2BFB" w:rsidP="00CB2BFB">
      <w:pPr>
        <w:spacing w:line="360" w:lineRule="auto"/>
      </w:pPr>
      <w:r w:rsidRPr="00CB2BFB">
        <w:t>Наиболее частый и распространенный фактор. Рвота, особенно сильная и продолжительная, может быть вызвана различными причинами, включая алкоголь, отравления, заболевания пищеварительной системы и др. </w:t>
      </w:r>
    </w:p>
    <w:p w14:paraId="115686BC" w14:textId="77777777" w:rsidR="00CB2BFB" w:rsidRPr="00CB2BFB" w:rsidRDefault="00CB2BFB" w:rsidP="00A109C4">
      <w:pPr>
        <w:numPr>
          <w:ilvl w:val="0"/>
          <w:numId w:val="9"/>
        </w:numPr>
        <w:spacing w:line="360" w:lineRule="auto"/>
      </w:pPr>
      <w:r w:rsidRPr="00CB2BFB">
        <w:rPr>
          <w:bCs/>
        </w:rPr>
        <w:t>Повышение внутрибрюшного давления:</w:t>
      </w:r>
    </w:p>
    <w:p w14:paraId="3F7BA11B" w14:textId="77777777" w:rsidR="00CB2BFB" w:rsidRPr="00CB2BFB" w:rsidRDefault="00CB2BFB" w:rsidP="00CB2BFB">
      <w:pPr>
        <w:spacing w:line="360" w:lineRule="auto"/>
      </w:pPr>
      <w:r w:rsidRPr="00CB2BFB">
        <w:t xml:space="preserve">Помимо рвоты, другие состояния, приводящие к повышению внутрибрюшного давления, также могут способствовать развитию синдрома </w:t>
      </w:r>
      <w:proofErr w:type="spellStart"/>
      <w:r w:rsidRPr="00CB2BFB">
        <w:t>Мэллори-Вейсса</w:t>
      </w:r>
      <w:proofErr w:type="spellEnd"/>
      <w:r w:rsidRPr="00CB2BFB">
        <w:t>. Это может быть связано с тяжелым кашлем, сильными физическими нагрузками, травмами живота, родами и т.д. </w:t>
      </w:r>
    </w:p>
    <w:p w14:paraId="04E0553D" w14:textId="77777777" w:rsidR="00CB2BFB" w:rsidRPr="00CB2BFB" w:rsidRDefault="00CB2BFB" w:rsidP="00A109C4">
      <w:pPr>
        <w:numPr>
          <w:ilvl w:val="0"/>
          <w:numId w:val="9"/>
        </w:numPr>
        <w:spacing w:line="360" w:lineRule="auto"/>
      </w:pPr>
      <w:r w:rsidRPr="00CB2BFB">
        <w:rPr>
          <w:bCs/>
        </w:rPr>
        <w:t>Лекарственные препараты:</w:t>
      </w:r>
    </w:p>
    <w:p w14:paraId="2D32C321" w14:textId="77777777" w:rsidR="00CB2BFB" w:rsidRPr="00CB2BFB" w:rsidRDefault="00CB2BFB" w:rsidP="00CB2BFB">
      <w:pPr>
        <w:spacing w:line="360" w:lineRule="auto"/>
      </w:pPr>
      <w:r w:rsidRPr="00CB2BFB">
        <w:t>Некоторые лекарства, например, аспирин, могут вызвать раздражение слизистой оболочки желудка и, при наличии других факторов риска, способствовать развитию разрывов. </w:t>
      </w:r>
    </w:p>
    <w:p w14:paraId="0F7484C9" w14:textId="1020E8B5" w:rsidR="00CB2BFB" w:rsidRPr="00CB2BFB" w:rsidRDefault="00CB2BFB" w:rsidP="00A109C4">
      <w:pPr>
        <w:numPr>
          <w:ilvl w:val="0"/>
          <w:numId w:val="9"/>
        </w:numPr>
        <w:spacing w:line="360" w:lineRule="auto"/>
      </w:pPr>
      <w:r w:rsidRPr="00CB2BFB">
        <w:rPr>
          <w:bCs/>
        </w:rPr>
        <w:t>Заболевания ВОПТ:</w:t>
      </w:r>
    </w:p>
    <w:p w14:paraId="0416C48D" w14:textId="77777777" w:rsidR="00CB2BFB" w:rsidRPr="00CB2BFB" w:rsidRDefault="00CB2BFB" w:rsidP="00CB2BFB">
      <w:pPr>
        <w:spacing w:line="360" w:lineRule="auto"/>
      </w:pPr>
      <w:r w:rsidRPr="00CB2BFB">
        <w:t>Хронические заболевания верхнего отдела пищеварительного тракта (гастрит, язвы пищевода), грыжа пищеводного отверстия диафрагмы, портальная гипертензия также могут повышать риск развития синдрома. </w:t>
      </w:r>
    </w:p>
    <w:p w14:paraId="787F0B2B" w14:textId="77777777" w:rsidR="00CB2BFB" w:rsidRPr="00CB2BFB" w:rsidRDefault="00CB2BFB" w:rsidP="00A109C4">
      <w:pPr>
        <w:numPr>
          <w:ilvl w:val="0"/>
          <w:numId w:val="9"/>
        </w:numPr>
        <w:spacing w:line="360" w:lineRule="auto"/>
      </w:pPr>
      <w:r w:rsidRPr="00CB2BFB">
        <w:rPr>
          <w:bCs/>
        </w:rPr>
        <w:t>Ятрогенные факторы:</w:t>
      </w:r>
    </w:p>
    <w:p w14:paraId="3CDC686F" w14:textId="77777777" w:rsidR="00CB2BFB" w:rsidRDefault="00CB2BFB" w:rsidP="00CB2BFB">
      <w:pPr>
        <w:spacing w:line="360" w:lineRule="auto"/>
      </w:pPr>
      <w:r w:rsidRPr="00CB2BFB">
        <w:t>Повреждение слизистой оболочки во время эндоскопических манипуляций, введения желудочного зонда или сердечно-легочной реанимации также может стать причиной разрывов. </w:t>
      </w:r>
    </w:p>
    <w:p w14:paraId="598C1F6D" w14:textId="77777777" w:rsidR="00CB2BFB" w:rsidRDefault="00CB2BFB" w:rsidP="00CB2BFB">
      <w:pPr>
        <w:spacing w:line="360" w:lineRule="auto"/>
      </w:pPr>
    </w:p>
    <w:p w14:paraId="6F9E70DC" w14:textId="77777777" w:rsidR="00CB2BFB" w:rsidRPr="00CB2BFB" w:rsidRDefault="00CB2BFB" w:rsidP="00CB2BFB">
      <w:pPr>
        <w:spacing w:line="360" w:lineRule="auto"/>
      </w:pPr>
    </w:p>
    <w:p w14:paraId="6E9F2EE2" w14:textId="77777777" w:rsidR="00CB2BFB" w:rsidRPr="00CB2BFB" w:rsidRDefault="00CB2BFB" w:rsidP="00CB2BFB">
      <w:pPr>
        <w:spacing w:line="360" w:lineRule="auto"/>
        <w:rPr>
          <w:b/>
        </w:rPr>
      </w:pPr>
      <w:r w:rsidRPr="00CB2BFB">
        <w:rPr>
          <w:b/>
        </w:rPr>
        <w:t>Факторы риска:</w:t>
      </w:r>
    </w:p>
    <w:p w14:paraId="6BD675A8" w14:textId="77777777" w:rsidR="00CB2BFB" w:rsidRPr="00CB2BFB" w:rsidRDefault="00CB2BFB" w:rsidP="00A109C4">
      <w:pPr>
        <w:numPr>
          <w:ilvl w:val="0"/>
          <w:numId w:val="10"/>
        </w:numPr>
        <w:spacing w:line="360" w:lineRule="auto"/>
      </w:pPr>
      <w:r w:rsidRPr="00CB2BFB">
        <w:rPr>
          <w:bCs/>
        </w:rPr>
        <w:t>Алкоголизм и булимия:</w:t>
      </w:r>
    </w:p>
    <w:p w14:paraId="1D6C9B0E" w14:textId="77777777" w:rsidR="00CB2BFB" w:rsidRPr="00CB2BFB" w:rsidRDefault="00CB2BFB" w:rsidP="00CB2BFB">
      <w:pPr>
        <w:spacing w:line="360" w:lineRule="auto"/>
      </w:pPr>
      <w:r w:rsidRPr="00CB2BFB">
        <w:t>Эти состояния часто связаны с частой и сильной рвотой, что увеличивает риск развития синдрома. </w:t>
      </w:r>
    </w:p>
    <w:p w14:paraId="6A8526A6" w14:textId="77777777" w:rsidR="00CB2BFB" w:rsidRPr="00CB2BFB" w:rsidRDefault="00CB2BFB" w:rsidP="00A109C4">
      <w:pPr>
        <w:numPr>
          <w:ilvl w:val="0"/>
          <w:numId w:val="10"/>
        </w:numPr>
        <w:spacing w:line="360" w:lineRule="auto"/>
      </w:pPr>
      <w:proofErr w:type="spellStart"/>
      <w:r w:rsidRPr="00CB2BFB">
        <w:rPr>
          <w:bCs/>
        </w:rPr>
        <w:t>Гастроэзофагеальная</w:t>
      </w:r>
      <w:proofErr w:type="spellEnd"/>
      <w:r w:rsidRPr="00CB2BFB">
        <w:rPr>
          <w:bCs/>
        </w:rPr>
        <w:t xml:space="preserve"> </w:t>
      </w:r>
      <w:proofErr w:type="spellStart"/>
      <w:r w:rsidRPr="00CB2BFB">
        <w:rPr>
          <w:bCs/>
        </w:rPr>
        <w:t>рефлюксная</w:t>
      </w:r>
      <w:proofErr w:type="spellEnd"/>
      <w:r w:rsidRPr="00CB2BFB">
        <w:rPr>
          <w:bCs/>
        </w:rPr>
        <w:t xml:space="preserve"> болезнь (ГЭРБ):</w:t>
      </w:r>
    </w:p>
    <w:p w14:paraId="1128A1D9" w14:textId="77777777" w:rsidR="00CB2BFB" w:rsidRPr="00CB2BFB" w:rsidRDefault="00CB2BFB" w:rsidP="00CB2BFB">
      <w:pPr>
        <w:spacing w:line="360" w:lineRule="auto"/>
      </w:pPr>
      <w:r w:rsidRPr="00CB2BFB">
        <w:t>Нарушения в работе нижнего пищеводного сфинктера могут способствовать повышению внутрибрюшного давления и развитию разрывов. </w:t>
      </w:r>
    </w:p>
    <w:p w14:paraId="5ED5B8C1" w14:textId="77777777" w:rsidR="00CB2BFB" w:rsidRPr="00CB2BFB" w:rsidRDefault="00CB2BFB" w:rsidP="00A109C4">
      <w:pPr>
        <w:numPr>
          <w:ilvl w:val="0"/>
          <w:numId w:val="10"/>
        </w:numPr>
        <w:spacing w:line="360" w:lineRule="auto"/>
      </w:pPr>
      <w:r w:rsidRPr="00CB2BFB">
        <w:rPr>
          <w:bCs/>
        </w:rPr>
        <w:t>Беременность:</w:t>
      </w:r>
    </w:p>
    <w:p w14:paraId="481DA36C" w14:textId="77777777" w:rsidR="00CB2BFB" w:rsidRPr="00CB2BFB" w:rsidRDefault="00CB2BFB" w:rsidP="00CB2BFB">
      <w:pPr>
        <w:spacing w:line="360" w:lineRule="auto"/>
      </w:pPr>
      <w:r w:rsidRPr="00CB2BFB">
        <w:t>Во время беременности могут быть повышенные риски рвоты и изменений в работе пищевода, что увеличивает вероятность развития синдрома. </w:t>
      </w:r>
    </w:p>
    <w:p w14:paraId="4A1C411B" w14:textId="77777777" w:rsidR="00CB2BFB" w:rsidRDefault="00CB2BFB" w:rsidP="004A69FF">
      <w:pPr>
        <w:spacing w:line="360" w:lineRule="auto"/>
      </w:pPr>
    </w:p>
    <w:p w14:paraId="25A52344" w14:textId="71BDB146" w:rsidR="00CB2BFB" w:rsidRPr="004A0BAA" w:rsidRDefault="00CB2BFB" w:rsidP="004A69FF">
      <w:pPr>
        <w:spacing w:line="360" w:lineRule="auto"/>
      </w:pPr>
      <w:r w:rsidRPr="00CB2BFB">
        <w:rPr>
          <w:b/>
        </w:rPr>
        <w:t>Патогенез:</w:t>
      </w:r>
      <w:r w:rsidRPr="00CB2BFB">
        <w:br/>
      </w:r>
      <w:r>
        <w:t xml:space="preserve">Основной реализующей причиной разрывов слизистой оболочки пищеводно-желудочного перехода является рвота. М. </w:t>
      </w:r>
      <w:proofErr w:type="spellStart"/>
      <w:r>
        <w:t>Atkinson</w:t>
      </w:r>
      <w:proofErr w:type="spellEnd"/>
      <w:r>
        <w:t xml:space="preserve"> и </w:t>
      </w:r>
      <w:proofErr w:type="spellStart"/>
      <w:r>
        <w:t>соавт</w:t>
      </w:r>
      <w:proofErr w:type="spellEnd"/>
      <w:r>
        <w:t xml:space="preserve">. (1961) установили, что у больных во время рвоты давление в желудке достигало 120-150 </w:t>
      </w:r>
      <w:proofErr w:type="spellStart"/>
      <w:r>
        <w:t>мм.рт.ст</w:t>
      </w:r>
      <w:proofErr w:type="spellEnd"/>
      <w:r>
        <w:t xml:space="preserve">., а иногда повышалось до 200 </w:t>
      </w:r>
      <w:proofErr w:type="spellStart"/>
      <w:r>
        <w:t>мм.рт.ст</w:t>
      </w:r>
      <w:proofErr w:type="spellEnd"/>
      <w:r>
        <w:t xml:space="preserve">. Во время натужных рвотных движений нарушается координация между «запирательной» функцией кардиального жома и привратника и сильными антиперистальтическими сокращениями желудка. В этом случае во время рвоты резко повышается внутрижелудочное давление, что и приводит к разрыву стенки </w:t>
      </w:r>
      <w:proofErr w:type="spellStart"/>
      <w:r>
        <w:t>гастроэзофагеального</w:t>
      </w:r>
      <w:proofErr w:type="spellEnd"/>
      <w:r>
        <w:t xml:space="preserve"> перехода. Патогенез этого заболевания остается не до конца изученным и по настоящее время.</w:t>
      </w:r>
    </w:p>
    <w:p w14:paraId="7C9847CC" w14:textId="77777777" w:rsidR="00CB2BFB" w:rsidRPr="004A69FF" w:rsidRDefault="00CB2BFB" w:rsidP="004A69FF">
      <w:pPr>
        <w:spacing w:line="360" w:lineRule="auto"/>
      </w:pPr>
    </w:p>
    <w:p w14:paraId="3C2F8443" w14:textId="77777777" w:rsidR="00AE37FB" w:rsidRDefault="00F52CFD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14" w:name="_tyjcwt" w:colFirst="0" w:colLast="0"/>
      <w:bookmarkStart w:id="15" w:name="_Toc11747732"/>
      <w:bookmarkStart w:id="16" w:name="_Toc26477689"/>
      <w:bookmarkStart w:id="17" w:name="_Toc16510468"/>
      <w:bookmarkEnd w:id="14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1.3 Эпидемиология</w:t>
      </w:r>
      <w:bookmarkEnd w:id="15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заболевания или состояния (группы заболеваний или состояний)</w:t>
      </w:r>
      <w:bookmarkEnd w:id="16"/>
      <w:bookmarkEnd w:id="17"/>
    </w:p>
    <w:p w14:paraId="2E0D60E7" w14:textId="040F9849" w:rsidR="00AE37FB" w:rsidRDefault="004A0BAA">
      <w:pPr>
        <w:spacing w:line="360" w:lineRule="auto"/>
      </w:pPr>
      <w:r w:rsidRPr="004A0BAA">
        <w:t xml:space="preserve">Разрыв </w:t>
      </w:r>
      <w:proofErr w:type="spellStart"/>
      <w:r w:rsidRPr="004A0BAA">
        <w:t>Маллори-Вейсса</w:t>
      </w:r>
      <w:proofErr w:type="spellEnd"/>
      <w:r w:rsidRPr="004A0BAA">
        <w:t xml:space="preserve"> является </w:t>
      </w:r>
      <w:r>
        <w:t>редкой</w:t>
      </w:r>
      <w:r w:rsidRPr="004A0BAA">
        <w:t xml:space="preserve"> причиной кровотечения из верхних отделов ЖКТ, составляя примерно 5% всех случаев</w:t>
      </w:r>
      <w:r>
        <w:t xml:space="preserve">. </w:t>
      </w:r>
      <w:r w:rsidRPr="004A0BAA">
        <w:t>Чаще возникает у мужчин. Данный синдром превалирует среди пациентов в возрасте 40-50 лет, но может возникать и в другом возрасте.</w:t>
      </w:r>
      <w:r>
        <w:t xml:space="preserve"> Заболеваемость составляет 7,5 случаев на 100 000 человек, внутрибольничная летальность составляет 2,7%. </w:t>
      </w:r>
    </w:p>
    <w:p w14:paraId="524B4EEA" w14:textId="77777777" w:rsidR="00AE37FB" w:rsidRDefault="00F52CFD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18" w:name="_3dy6vkm" w:colFirst="0" w:colLast="0"/>
      <w:bookmarkStart w:id="19" w:name="_Toc26477690"/>
      <w:bookmarkStart w:id="20" w:name="_Toc16510469"/>
      <w:bookmarkEnd w:id="18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lastRenderedPageBreak/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9"/>
      <w:bookmarkEnd w:id="20"/>
    </w:p>
    <w:p w14:paraId="2E1F4E69" w14:textId="0B0B2F1E" w:rsidR="00AE37FB" w:rsidRDefault="004A69FF">
      <w:pPr>
        <w:spacing w:line="360" w:lineRule="auto"/>
      </w:pPr>
      <w:r w:rsidRPr="004A69FF">
        <w:t xml:space="preserve">Синдром </w:t>
      </w:r>
      <w:proofErr w:type="spellStart"/>
      <w:r w:rsidRPr="004A69FF">
        <w:t>Мэллори-Вейсса</w:t>
      </w:r>
      <w:proofErr w:type="spellEnd"/>
      <w:r w:rsidRPr="004A69FF">
        <w:t xml:space="preserve"> (желудочно-пищеводный раз</w:t>
      </w:r>
      <w:r>
        <w:t>рывно-геморрагический синдром) - (К22.6</w:t>
      </w:r>
      <w:r w:rsidR="00F52CFD">
        <w:t>)</w:t>
      </w:r>
    </w:p>
    <w:p w14:paraId="388D9691" w14:textId="77777777" w:rsidR="004D0650" w:rsidRDefault="004D0650">
      <w:pPr>
        <w:pStyle w:val="2"/>
        <w:spacing w:line="360" w:lineRule="auto"/>
        <w:ind w:firstLine="426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21" w:name="_1t3h5sf" w:colFirst="0" w:colLast="0"/>
      <w:bookmarkStart w:id="22" w:name="_Toc11747734"/>
      <w:bookmarkStart w:id="23" w:name="_Toc16510470"/>
      <w:bookmarkStart w:id="24" w:name="_Toc26477691"/>
      <w:bookmarkEnd w:id="21"/>
    </w:p>
    <w:p w14:paraId="2AD6154A" w14:textId="77777777" w:rsidR="00AE37FB" w:rsidRDefault="00F52CFD">
      <w:pPr>
        <w:pStyle w:val="2"/>
        <w:spacing w:line="360" w:lineRule="auto"/>
        <w:ind w:firstLine="426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1.5 Классификация</w:t>
      </w:r>
      <w:bookmarkEnd w:id="22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заболевания или состояния (группы заболеваний или состояний)</w:t>
      </w:r>
      <w:bookmarkEnd w:id="23"/>
      <w:bookmarkEnd w:id="24"/>
    </w:p>
    <w:p w14:paraId="71FB7ED6" w14:textId="446273C8" w:rsidR="00AE37FB" w:rsidRDefault="00F52CFD">
      <w:pPr>
        <w:spacing w:line="360" w:lineRule="auto"/>
      </w:pPr>
      <w:r>
        <w:t xml:space="preserve">Общепринятой классификации </w:t>
      </w:r>
      <w:r w:rsidR="00F15B3F">
        <w:t xml:space="preserve">СМВ </w:t>
      </w:r>
      <w:r>
        <w:t xml:space="preserve">не существует. </w:t>
      </w:r>
    </w:p>
    <w:p w14:paraId="10008D96" w14:textId="11A16A9F" w:rsidR="00F15B3F" w:rsidRDefault="00F15B3F" w:rsidP="00F15B3F">
      <w:pPr>
        <w:shd w:val="clear" w:color="auto" w:fill="FFFFFF"/>
        <w:spacing w:before="100" w:beforeAutospacing="1"/>
        <w:ind w:right="614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Выделяют следующие стадии синдрома </w:t>
      </w:r>
      <w:proofErr w:type="spellStart"/>
      <w:r>
        <w:rPr>
          <w:rFonts w:ascii="Century Schoolbook" w:hAnsi="Century Schoolbook"/>
          <w:color w:val="000000"/>
        </w:rPr>
        <w:t>Маллори-Вейса</w:t>
      </w:r>
      <w:proofErr w:type="spellEnd"/>
      <w:r>
        <w:rPr>
          <w:rFonts w:ascii="Century Schoolbook" w:hAnsi="Century Schoolbook"/>
          <w:color w:val="000000"/>
        </w:rPr>
        <w:t>:</w:t>
      </w:r>
    </w:p>
    <w:p w14:paraId="00446360" w14:textId="77777777" w:rsidR="00F15B3F" w:rsidRDefault="00F15B3F" w:rsidP="00A109C4">
      <w:pPr>
        <w:numPr>
          <w:ilvl w:val="0"/>
          <w:numId w:val="8"/>
        </w:numPr>
        <w:shd w:val="clear" w:color="auto" w:fill="FFFFFF"/>
        <w:spacing w:before="100" w:beforeAutospacing="1"/>
        <w:ind w:left="1320" w:right="614"/>
        <w:rPr>
          <w:color w:val="000000"/>
        </w:rPr>
      </w:pPr>
      <w:r>
        <w:rPr>
          <w:rFonts w:ascii="Century Schoolbook" w:hAnsi="Century Schoolbook"/>
          <w:color w:val="000000"/>
        </w:rPr>
        <w:t xml:space="preserve">стадия - разрыв (трещины) слизистой оболочки нижней трети пищевода, </w:t>
      </w:r>
      <w:proofErr w:type="spellStart"/>
      <w:r>
        <w:rPr>
          <w:rFonts w:ascii="Century Schoolbook" w:hAnsi="Century Schoolbook"/>
          <w:color w:val="000000"/>
        </w:rPr>
        <w:t>кардиоэ</w:t>
      </w:r>
      <w:proofErr w:type="spellEnd"/>
      <w:r>
        <w:rPr>
          <w:rFonts w:ascii="Century Schoolbook" w:hAnsi="Century Schoolbook"/>
          <w:color w:val="000000"/>
        </w:rPr>
        <w:t xml:space="preserve">- </w:t>
      </w:r>
      <w:proofErr w:type="spellStart"/>
      <w:r>
        <w:rPr>
          <w:rFonts w:ascii="Century Schoolbook" w:hAnsi="Century Schoolbook"/>
          <w:color w:val="000000"/>
        </w:rPr>
        <w:t>зофагиального</w:t>
      </w:r>
      <w:proofErr w:type="spellEnd"/>
      <w:r>
        <w:rPr>
          <w:rFonts w:ascii="Century Schoolbook" w:hAnsi="Century Schoolbook"/>
          <w:color w:val="000000"/>
        </w:rPr>
        <w:t xml:space="preserve"> перехода;</w:t>
      </w:r>
    </w:p>
    <w:p w14:paraId="5AA50FF9" w14:textId="77777777" w:rsidR="00F15B3F" w:rsidRDefault="00F15B3F" w:rsidP="00A109C4">
      <w:pPr>
        <w:numPr>
          <w:ilvl w:val="0"/>
          <w:numId w:val="8"/>
        </w:numPr>
        <w:shd w:val="clear" w:color="auto" w:fill="FFFFFF"/>
        <w:spacing w:before="100" w:beforeAutospacing="1"/>
        <w:ind w:left="1320" w:right="614"/>
        <w:rPr>
          <w:color w:val="000000"/>
        </w:rPr>
      </w:pPr>
      <w:r>
        <w:rPr>
          <w:rFonts w:ascii="Century Schoolbook" w:hAnsi="Century Schoolbook"/>
          <w:color w:val="000000"/>
        </w:rPr>
        <w:t>стадия - разрыв (трещины) слизистой оболочки, подслизистого слоя;</w:t>
      </w:r>
    </w:p>
    <w:p w14:paraId="7D5B53FF" w14:textId="77777777" w:rsidR="00F15B3F" w:rsidRDefault="00F15B3F" w:rsidP="00A109C4">
      <w:pPr>
        <w:numPr>
          <w:ilvl w:val="0"/>
          <w:numId w:val="8"/>
        </w:numPr>
        <w:shd w:val="clear" w:color="auto" w:fill="FFFFFF"/>
        <w:spacing w:before="100" w:beforeAutospacing="1"/>
        <w:ind w:left="1320" w:right="614"/>
        <w:rPr>
          <w:color w:val="000000"/>
        </w:rPr>
      </w:pPr>
      <w:r>
        <w:rPr>
          <w:rFonts w:ascii="Century Schoolbook" w:hAnsi="Century Schoolbook"/>
          <w:color w:val="000000"/>
        </w:rPr>
        <w:t>стадия - разрыв (трещины) с вовлечением циркулярного мышечного слоя. Зона</w:t>
      </w:r>
      <w:r>
        <w:rPr>
          <w:color w:val="000000"/>
        </w:rPr>
        <w:t xml:space="preserve"> </w:t>
      </w:r>
      <w:r w:rsidRPr="00F15B3F">
        <w:rPr>
          <w:rFonts w:ascii="Century Schoolbook" w:hAnsi="Century Schoolbook"/>
          <w:color w:val="000000"/>
        </w:rPr>
        <w:t>разрыва не спазмируется, не смыкается, интенсивное кровотечение;</w:t>
      </w:r>
    </w:p>
    <w:p w14:paraId="3C99ACA0" w14:textId="33B266AF" w:rsidR="00F15B3F" w:rsidRPr="00F15B3F" w:rsidRDefault="00F15B3F" w:rsidP="00A109C4">
      <w:pPr>
        <w:numPr>
          <w:ilvl w:val="0"/>
          <w:numId w:val="8"/>
        </w:numPr>
        <w:shd w:val="clear" w:color="auto" w:fill="FFFFFF"/>
        <w:spacing w:before="100" w:beforeAutospacing="1"/>
        <w:ind w:left="1320" w:right="614"/>
        <w:rPr>
          <w:color w:val="000000"/>
        </w:rPr>
      </w:pPr>
      <w:r w:rsidRPr="00F15B3F">
        <w:rPr>
          <w:rFonts w:ascii="Century Schoolbook" w:hAnsi="Century Schoolbook"/>
          <w:color w:val="000000"/>
        </w:rPr>
        <w:t xml:space="preserve">IV стадия - разрыв всех слоев пищевода, </w:t>
      </w:r>
      <w:proofErr w:type="spellStart"/>
      <w:r w:rsidRPr="00F15B3F">
        <w:rPr>
          <w:rFonts w:ascii="Century Schoolbook" w:hAnsi="Century Schoolbook"/>
          <w:color w:val="000000"/>
        </w:rPr>
        <w:t>кардиоэзофагиального</w:t>
      </w:r>
      <w:proofErr w:type="spellEnd"/>
      <w:r w:rsidRPr="00F15B3F">
        <w:rPr>
          <w:rFonts w:ascii="Century Schoolbook" w:hAnsi="Century Schoolbook"/>
          <w:color w:val="000000"/>
        </w:rPr>
        <w:t xml:space="preserve"> перехода, сопровождается перитонитом, медиастинитом, пневмотораксом.</w:t>
      </w:r>
    </w:p>
    <w:p w14:paraId="28308887" w14:textId="77777777" w:rsidR="00100B4E" w:rsidRDefault="00100B4E" w:rsidP="00100B4E">
      <w:pPr>
        <w:spacing w:line="360" w:lineRule="auto"/>
      </w:pPr>
    </w:p>
    <w:p w14:paraId="68F27D41" w14:textId="523C077B" w:rsidR="00100B4E" w:rsidRDefault="00100B4E" w:rsidP="00100B4E">
      <w:pPr>
        <w:spacing w:line="360" w:lineRule="auto"/>
        <w:rPr>
          <w:b/>
        </w:rPr>
      </w:pPr>
      <w:r>
        <w:rPr>
          <w:b/>
        </w:rPr>
        <w:t xml:space="preserve">Эндоскопическая </w:t>
      </w:r>
      <w:r w:rsidR="004A69FF">
        <w:rPr>
          <w:b/>
        </w:rPr>
        <w:t>картина СМВ:</w:t>
      </w:r>
      <w:r>
        <w:rPr>
          <w:b/>
        </w:rPr>
        <w:t xml:space="preserve"> </w:t>
      </w:r>
    </w:p>
    <w:p w14:paraId="7C786D4A" w14:textId="47D952ED" w:rsidR="004A69FF" w:rsidRDefault="004A69FF" w:rsidP="00100B4E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 wp14:anchorId="749509F9" wp14:editId="1B428F6C">
            <wp:extent cx="2600077" cy="21580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84" cy="217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9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FCC6B2" wp14:editId="40FC4533">
            <wp:extent cx="2674241" cy="2164938"/>
            <wp:effectExtent l="0" t="0" r="0" b="6985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09" cy="217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BC13" w14:textId="77777777" w:rsidR="004A69FF" w:rsidRDefault="004A69FF" w:rsidP="00100B4E">
      <w:pPr>
        <w:spacing w:line="360" w:lineRule="auto"/>
        <w:rPr>
          <w:b/>
        </w:rPr>
      </w:pPr>
    </w:p>
    <w:p w14:paraId="2845B1DA" w14:textId="77777777" w:rsidR="00100B4E" w:rsidRDefault="00100B4E">
      <w:pPr>
        <w:spacing w:line="360" w:lineRule="auto"/>
      </w:pPr>
    </w:p>
    <w:p w14:paraId="14C4B2F1" w14:textId="77777777" w:rsidR="00781949" w:rsidRPr="006F7A3D" w:rsidRDefault="00781949" w:rsidP="00781949">
      <w:pPr>
        <w:spacing w:line="360" w:lineRule="auto"/>
      </w:pPr>
      <w:r w:rsidRPr="006F7A3D">
        <w:rPr>
          <w:b/>
        </w:rPr>
        <w:t>По степени тяжести кровотечения,</w:t>
      </w:r>
      <w:r w:rsidRPr="006F7A3D">
        <w:t xml:space="preserve"> наиболее распространённой в нашей стране, является классификация А.И. </w:t>
      </w:r>
      <w:proofErr w:type="spellStart"/>
      <w:r w:rsidRPr="006F7A3D">
        <w:t>Горбашко</w:t>
      </w:r>
      <w:proofErr w:type="spellEnd"/>
      <w:r w:rsidRPr="006F7A3D">
        <w:t xml:space="preserve"> 1982</w:t>
      </w:r>
      <w:r w:rsidR="00F7781D">
        <w:t xml:space="preserve"> </w:t>
      </w:r>
      <w:r w:rsidRPr="006F7A3D">
        <w:t>г. (приложение Г1)</w:t>
      </w:r>
      <w:r w:rsidR="004C1BDE">
        <w:t xml:space="preserve"> [16]</w:t>
      </w:r>
      <w:r w:rsidRPr="006F7A3D">
        <w:t xml:space="preserve">, использующая 3-х степенную градацию, выделяющая лёгкую, среднюю и тяжёлую степень кровотечения, учитывающая </w:t>
      </w:r>
      <w:r w:rsidRPr="006F7A3D">
        <w:lastRenderedPageBreak/>
        <w:t xml:space="preserve">при этом, как объём перенесенной кровопотери, так и состояние самого больного. Шкала тяжести кровопотери американского колледжа хирургов (приложение </w:t>
      </w:r>
    </w:p>
    <w:p w14:paraId="59118A9C" w14:textId="77777777" w:rsidR="00781949" w:rsidRPr="006F7A3D" w:rsidRDefault="00781949" w:rsidP="00781949">
      <w:pPr>
        <w:spacing w:line="360" w:lineRule="auto"/>
      </w:pPr>
      <w:r w:rsidRPr="006F7A3D">
        <w:t xml:space="preserve">Г2) выделяет 4 класса (степени) кровопотери – лёгкую, умеренную, среднюю и тяжёлую </w:t>
      </w:r>
    </w:p>
    <w:p w14:paraId="2F965F64" w14:textId="1A7D4122" w:rsidR="009F286C" w:rsidRDefault="00781949" w:rsidP="009F286C">
      <w:pPr>
        <w:spacing w:line="360" w:lineRule="auto"/>
      </w:pPr>
      <w:r w:rsidRPr="006F7A3D">
        <w:t>[</w:t>
      </w:r>
      <w:r w:rsidR="009F286C">
        <w:t>19]</w:t>
      </w:r>
      <w:r w:rsidR="00C147F2">
        <w:t>.</w:t>
      </w:r>
    </w:p>
    <w:p w14:paraId="36D65CD7" w14:textId="77777777" w:rsidR="00781949" w:rsidRDefault="00781949" w:rsidP="00781949">
      <w:pPr>
        <w:spacing w:line="360" w:lineRule="auto"/>
      </w:pPr>
    </w:p>
    <w:p w14:paraId="58B471F4" w14:textId="77777777" w:rsidR="00AE37FB" w:rsidRDefault="00AE37FB">
      <w:pPr>
        <w:spacing w:line="360" w:lineRule="auto"/>
      </w:pPr>
    </w:p>
    <w:p w14:paraId="2ADCA0E3" w14:textId="77777777" w:rsidR="00AE37FB" w:rsidRDefault="00F52CFD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bookmarkStart w:id="25" w:name="_Toc11747735"/>
      <w:bookmarkStart w:id="26" w:name="_Toc16510471"/>
      <w:bookmarkStart w:id="27" w:name="_Toc26477692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1.6 Клиническая картина</w:t>
      </w:r>
      <w:bookmarkEnd w:id="25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заболевания или состояния (группы заболеваний или состояний)</w:t>
      </w:r>
      <w:bookmarkEnd w:id="26"/>
      <w:bookmarkEnd w:id="27"/>
    </w:p>
    <w:p w14:paraId="24949D10" w14:textId="77777777" w:rsidR="00C147F2" w:rsidRDefault="00C147F2" w:rsidP="00C147F2">
      <w:pPr>
        <w:spacing w:line="360" w:lineRule="auto"/>
        <w:ind w:firstLine="360"/>
      </w:pPr>
      <w:r>
        <w:t xml:space="preserve">Клиническая картина синдрома </w:t>
      </w:r>
      <w:proofErr w:type="spellStart"/>
      <w:r>
        <w:t>Маллори-Вейсса</w:t>
      </w:r>
      <w:proofErr w:type="spellEnd"/>
      <w:r>
        <w:t xml:space="preserve"> обычно характеризуется рвотой с кровью (</w:t>
      </w:r>
      <w:proofErr w:type="spellStart"/>
      <w:r>
        <w:t>гематемезис</w:t>
      </w:r>
      <w:proofErr w:type="spellEnd"/>
      <w:r>
        <w:t xml:space="preserve">): может быть от небольших кровяных прожилок до массивного кровотечения. Цвет крови может варьироваться от ярко-красного до темного, в зависимости от того, насколько долго кровь находится в пищеварительном тракте. </w:t>
      </w:r>
    </w:p>
    <w:p w14:paraId="6A676D70" w14:textId="745A250F" w:rsidR="00C147F2" w:rsidRDefault="00C147F2" w:rsidP="00C147F2">
      <w:pPr>
        <w:spacing w:line="360" w:lineRule="auto"/>
        <w:ind w:firstLine="360"/>
      </w:pPr>
      <w:r w:rsidRPr="00C147F2">
        <w:t xml:space="preserve">Синдром </w:t>
      </w:r>
      <w:proofErr w:type="spellStart"/>
      <w:r w:rsidRPr="00C147F2">
        <w:t>Маллори-Вейсса</w:t>
      </w:r>
      <w:proofErr w:type="spellEnd"/>
      <w:r w:rsidRPr="00C147F2">
        <w:t xml:space="preserve"> часто развивается после эпизодов рвоты, позывам на рвоту, сильного кашля, икоты, а также других факторов, которые могут увеличить давление в брюшной полости и спровоцировать разрывы слизистой.</w:t>
      </w:r>
    </w:p>
    <w:p w14:paraId="5EE20131" w14:textId="1CDE4113" w:rsidR="00C147F2" w:rsidRDefault="00837091" w:rsidP="00C147F2">
      <w:pPr>
        <w:spacing w:line="360" w:lineRule="auto"/>
        <w:ind w:firstLine="360"/>
      </w:pPr>
      <w:r w:rsidRPr="006F7A3D">
        <w:t xml:space="preserve">Клинические </w:t>
      </w:r>
      <w:r w:rsidR="00C147F2" w:rsidRPr="006F7A3D">
        <w:t xml:space="preserve">проявления </w:t>
      </w:r>
      <w:r w:rsidR="00C147F2" w:rsidRPr="00C147F2">
        <w:rPr>
          <w:i/>
        </w:rPr>
        <w:t>пищеводно</w:t>
      </w:r>
      <w:r w:rsidR="00C147F2" w:rsidRPr="00C147F2">
        <w:rPr>
          <w:i/>
          <w:iCs/>
        </w:rPr>
        <w:t>-</w:t>
      </w:r>
      <w:r w:rsidR="00C147F2">
        <w:rPr>
          <w:i/>
          <w:iCs/>
        </w:rPr>
        <w:t>желудочных</w:t>
      </w:r>
      <w:r w:rsidRPr="008156B7">
        <w:rPr>
          <w:i/>
          <w:iCs/>
        </w:rPr>
        <w:t xml:space="preserve"> </w:t>
      </w:r>
      <w:r w:rsidR="00A4052B" w:rsidRPr="008156B7">
        <w:rPr>
          <w:i/>
          <w:iCs/>
        </w:rPr>
        <w:t>кровотечений</w:t>
      </w:r>
      <w:r>
        <w:t xml:space="preserve"> </w:t>
      </w:r>
      <w:r w:rsidR="00C147F2">
        <w:t>при СМВ</w:t>
      </w:r>
      <w:r w:rsidRPr="006F7A3D">
        <w:t xml:space="preserve"> можно разделить на две группы симптомов: </w:t>
      </w:r>
    </w:p>
    <w:p w14:paraId="41EC8730" w14:textId="77777777" w:rsidR="00C147F2" w:rsidRDefault="00C147F2" w:rsidP="00A109C4">
      <w:pPr>
        <w:pStyle w:val="af6"/>
        <w:numPr>
          <w:ilvl w:val="0"/>
          <w:numId w:val="12"/>
        </w:numPr>
        <w:spacing w:line="360" w:lineRule="auto"/>
      </w:pPr>
      <w:r>
        <w:t>О</w:t>
      </w:r>
      <w:r w:rsidR="00837091" w:rsidRPr="006F7A3D">
        <w:t xml:space="preserve">бщие признаки кровопотери (слабость, головокружение, потеря сознания, холодный липкий пот, снижение артериального давления, тахикардия) и </w:t>
      </w:r>
    </w:p>
    <w:p w14:paraId="451CBCF7" w14:textId="5D8F1E8E" w:rsidR="00B610A2" w:rsidRDefault="00C147F2" w:rsidP="00A109C4">
      <w:pPr>
        <w:pStyle w:val="af6"/>
        <w:numPr>
          <w:ilvl w:val="0"/>
          <w:numId w:val="12"/>
        </w:numPr>
        <w:spacing w:line="360" w:lineRule="auto"/>
      </w:pPr>
      <w:r>
        <w:t>С</w:t>
      </w:r>
      <w:r w:rsidR="00837091" w:rsidRPr="006F7A3D">
        <w:t>имптомы, обусловленные попаданием крови в просвет желудочно-кишечного тракта</w:t>
      </w:r>
      <w:r>
        <w:t xml:space="preserve">, которые включают </w:t>
      </w:r>
      <w:proofErr w:type="spellStart"/>
      <w:r>
        <w:t>гематемезис</w:t>
      </w:r>
      <w:proofErr w:type="spellEnd"/>
      <w:r>
        <w:t xml:space="preserve"> и </w:t>
      </w:r>
      <w:proofErr w:type="spellStart"/>
      <w:r>
        <w:t>мелену</w:t>
      </w:r>
      <w:proofErr w:type="spellEnd"/>
      <w:r>
        <w:t xml:space="preserve">. </w:t>
      </w:r>
      <w:r w:rsidR="00837091" w:rsidRPr="006F7A3D">
        <w:t xml:space="preserve">Кровопотеря в 100 мл может привести к появлению черного, но оформленного кала. «Истинная» мелена (дегтеобразный, т.е. черный и жидкий стул) у взрослого человека возникает при кровопотере объемом около 500 мл. Быстрая и массивная кровопотеря в просвет кишки может проявиться </w:t>
      </w:r>
      <w:proofErr w:type="spellStart"/>
      <w:r w:rsidR="00837091" w:rsidRPr="006F7A3D">
        <w:t>гематохезией</w:t>
      </w:r>
      <w:proofErr w:type="spellEnd"/>
      <w:r w:rsidR="00837091" w:rsidRPr="006F7A3D">
        <w:t xml:space="preserve"> – выделением через задний проход крови со сгустками.</w:t>
      </w:r>
    </w:p>
    <w:p w14:paraId="7A8A2140" w14:textId="71299AF1" w:rsidR="00837091" w:rsidRDefault="00837091" w:rsidP="00837091">
      <w:pPr>
        <w:spacing w:line="360" w:lineRule="auto"/>
      </w:pPr>
      <w:r>
        <w:tab/>
      </w:r>
      <w:r w:rsidRPr="006F7A3D">
        <w:t>При объективном обследовании выявля</w:t>
      </w:r>
      <w:r w:rsidR="00E32EC8">
        <w:t>ю</w:t>
      </w:r>
      <w:r w:rsidRPr="006F7A3D">
        <w:t xml:space="preserve">тся: измененное поведение больного (беспокойство, испуг или апатия, сонливость, при тяжелой степени кровопотери – психомоторное возбуждение, бред, галлюцинации); бледность кожных покровов, </w:t>
      </w:r>
      <w:r w:rsidR="00E32EC8">
        <w:t>изменения пульса (</w:t>
      </w:r>
      <w:r w:rsidRPr="006F7A3D">
        <w:t>частый, слабого наполнения</w:t>
      </w:r>
      <w:r w:rsidR="00E32EC8">
        <w:t>)</w:t>
      </w:r>
      <w:r w:rsidRPr="006F7A3D">
        <w:t>; АД имеет тенденцию к снижению в зависимости от степени кровопотери; дыхание учащено. Пальцевое исследование прямой кишки, являющееся обязательным при подозрении на желудочно-кишечное кровотечение, помогает выявить изменение окраски кала.</w:t>
      </w:r>
    </w:p>
    <w:p w14:paraId="492E8E69" w14:textId="77777777" w:rsidR="00AE37FB" w:rsidRPr="00240242" w:rsidRDefault="00F52CFD">
      <w:pPr>
        <w:pStyle w:val="afb"/>
        <w:spacing w:line="360" w:lineRule="auto"/>
        <w:ind w:firstLine="709"/>
        <w:jc w:val="both"/>
        <w:rPr>
          <w:u w:val="single"/>
        </w:rPr>
      </w:pPr>
      <w:bookmarkStart w:id="28" w:name="_4d34og8" w:colFirst="0" w:colLast="0"/>
      <w:bookmarkStart w:id="29" w:name="_Toc16510472"/>
      <w:bookmarkStart w:id="30" w:name="_Toc11747736"/>
      <w:bookmarkStart w:id="31" w:name="_Toc26477693"/>
      <w:bookmarkEnd w:id="28"/>
      <w:r>
        <w:lastRenderedPageBreak/>
        <w:t xml:space="preserve">2. </w:t>
      </w:r>
      <w:r w:rsidRPr="00240242">
        <w:rPr>
          <w:u w:val="single"/>
        </w:rPr>
        <w:t>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9"/>
      <w:bookmarkEnd w:id="30"/>
      <w:bookmarkEnd w:id="31"/>
    </w:p>
    <w:p w14:paraId="1A1A33B4" w14:textId="77777777" w:rsidR="00AE37FB" w:rsidRDefault="00F52CFD">
      <w:pPr>
        <w:pStyle w:val="2-6"/>
        <w:spacing w:line="360" w:lineRule="auto"/>
        <w:rPr>
          <w:b/>
          <w:i/>
        </w:rPr>
      </w:pPr>
      <w:r>
        <w:rPr>
          <w:b/>
          <w:i/>
        </w:rPr>
        <w:t xml:space="preserve">Критерии установления диагноза заболевания/состояния: </w:t>
      </w:r>
    </w:p>
    <w:p w14:paraId="7A3E46E5" w14:textId="26FF3D53" w:rsidR="00AE37FB" w:rsidRDefault="00F52CFD">
      <w:pPr>
        <w:pStyle w:val="2-6"/>
        <w:spacing w:line="360" w:lineRule="auto"/>
        <w:rPr>
          <w:i/>
        </w:rPr>
      </w:pPr>
      <w:r>
        <w:rPr>
          <w:i/>
        </w:rPr>
        <w:t xml:space="preserve">Диагноз </w:t>
      </w:r>
      <w:r w:rsidR="00C147F2">
        <w:rPr>
          <w:i/>
        </w:rPr>
        <w:t>СМВ</w:t>
      </w:r>
      <w:r>
        <w:rPr>
          <w:i/>
        </w:rPr>
        <w:t xml:space="preserve"> устанавливается на основании</w:t>
      </w:r>
    </w:p>
    <w:p w14:paraId="4232BC79" w14:textId="77777777" w:rsidR="00AE37FB" w:rsidRDefault="00F52CFD">
      <w:pPr>
        <w:pStyle w:val="2-6"/>
        <w:numPr>
          <w:ilvl w:val="0"/>
          <w:numId w:val="2"/>
        </w:numPr>
        <w:spacing w:line="360" w:lineRule="auto"/>
        <w:rPr>
          <w:i/>
        </w:rPr>
      </w:pPr>
      <w:r>
        <w:rPr>
          <w:i/>
        </w:rPr>
        <w:t>анамнестических данных (характерные жалобы, выявление язвенной</w:t>
      </w:r>
      <w:r>
        <w:rPr>
          <w:i/>
        </w:rPr>
        <w:tab/>
        <w:t xml:space="preserve"> болезни прежде)</w:t>
      </w:r>
    </w:p>
    <w:p w14:paraId="2F753C69" w14:textId="28EFBCBF" w:rsidR="00AE37FB" w:rsidRDefault="00F52CFD">
      <w:pPr>
        <w:pStyle w:val="2-6"/>
        <w:numPr>
          <w:ilvl w:val="0"/>
          <w:numId w:val="2"/>
        </w:numPr>
        <w:spacing w:line="360" w:lineRule="auto"/>
        <w:rPr>
          <w:i/>
        </w:rPr>
      </w:pPr>
      <w:r>
        <w:rPr>
          <w:i/>
        </w:rPr>
        <w:t xml:space="preserve">непосредственного обследования </w:t>
      </w:r>
    </w:p>
    <w:p w14:paraId="3F9B4270" w14:textId="64B5AE61" w:rsidR="00837091" w:rsidRDefault="00F52CFD">
      <w:pPr>
        <w:pStyle w:val="2-6"/>
        <w:spacing w:line="360" w:lineRule="auto"/>
        <w:rPr>
          <w:i/>
        </w:rPr>
      </w:pPr>
      <w:r>
        <w:rPr>
          <w:i/>
        </w:rPr>
        <w:tab/>
        <w:t xml:space="preserve">3) инструментального обследования (обнаружение </w:t>
      </w:r>
      <w:r w:rsidR="008662EC">
        <w:rPr>
          <w:i/>
        </w:rPr>
        <w:t xml:space="preserve">разрыва пищевода и/или желудка при </w:t>
      </w:r>
      <w:r>
        <w:rPr>
          <w:i/>
        </w:rPr>
        <w:t>эндоскопическом и рентгенологическом исследовании желудка и ДПК</w:t>
      </w:r>
      <w:r w:rsidR="008662EC">
        <w:rPr>
          <w:i/>
        </w:rPr>
        <w:t>)</w:t>
      </w:r>
      <w:r>
        <w:rPr>
          <w:i/>
        </w:rPr>
        <w:t xml:space="preserve"> </w:t>
      </w:r>
    </w:p>
    <w:p w14:paraId="4250A8AA" w14:textId="02D06589" w:rsidR="00837091" w:rsidRPr="006F7A3D" w:rsidRDefault="00837091" w:rsidP="00837091">
      <w:pPr>
        <w:spacing w:line="360" w:lineRule="auto"/>
      </w:pPr>
      <w:r>
        <w:tab/>
      </w:r>
      <w:r w:rsidRPr="006F7A3D">
        <w:t>Диагностическая программа</w:t>
      </w:r>
      <w:r>
        <w:t xml:space="preserve"> при </w:t>
      </w:r>
      <w:r w:rsidR="008662EC">
        <w:t>СМВ</w:t>
      </w:r>
      <w:r w:rsidRPr="006F7A3D">
        <w:t xml:space="preserve"> должна: 1) установить факт острого кровотечения в просвет верхних отделов ЖКТ; 2) выявить источник кровотечения; 3) определить степень тяжести кровопотери. При угрожающих жизни кровотечениях диагностические исследования должны быть проведены параллельно с неотложными лечебными мероприятиями.</w:t>
      </w:r>
    </w:p>
    <w:p w14:paraId="2B6363C4" w14:textId="77777777" w:rsidR="00837091" w:rsidRPr="006F7A3D" w:rsidRDefault="00837091" w:rsidP="00837091">
      <w:pPr>
        <w:spacing w:line="360" w:lineRule="auto"/>
      </w:pPr>
      <w:r w:rsidRPr="006F7A3D">
        <w:t>Критерии установления диагноза</w:t>
      </w:r>
      <w:r>
        <w:t>:</w:t>
      </w:r>
    </w:p>
    <w:p w14:paraId="1EF72029" w14:textId="7553DAFC" w:rsidR="00837091" w:rsidRPr="006F7A3D" w:rsidRDefault="00837091" w:rsidP="00837091">
      <w:pPr>
        <w:pStyle w:val="a"/>
      </w:pPr>
      <w:r w:rsidRPr="006F7A3D">
        <w:t xml:space="preserve">Диагноз </w:t>
      </w:r>
      <w:r w:rsidR="008662EC">
        <w:t>СМВ</w:t>
      </w:r>
      <w:r w:rsidRPr="006F7A3D">
        <w:t xml:space="preserve"> устанавливается на основании совокупности общих клинических признаков кровопотери; признаков кровотечения в просвет ЖКТ; анамнестических и лабораторных данных, подтвержденными результатами ЭГДС. При поступлении в стационар пациент должен быть</w:t>
      </w:r>
      <w:r w:rsidRPr="00FC5376">
        <w:t xml:space="preserve"> </w:t>
      </w:r>
      <w:r w:rsidRPr="006F7A3D">
        <w:t>сразу осмотрен врачом-хирургом и проведена неотложная лабораторная диагностика.</w:t>
      </w:r>
    </w:p>
    <w:p w14:paraId="09998317" w14:textId="336B6BE1" w:rsidR="00837091" w:rsidRPr="006F7A3D" w:rsidRDefault="00837091" w:rsidP="00837091">
      <w:pPr>
        <w:pStyle w:val="a"/>
        <w:rPr>
          <w:b/>
        </w:rPr>
      </w:pPr>
      <w:r w:rsidRPr="006F7A3D">
        <w:t xml:space="preserve">Пациентам с </w:t>
      </w:r>
      <w:r w:rsidR="008662EC">
        <w:t>СМВ</w:t>
      </w:r>
      <w:r w:rsidRPr="006F7A3D">
        <w:t xml:space="preserve"> для определения степени тяжести кровопотери рекомендуется использовать классификацию А.И. </w:t>
      </w:r>
      <w:proofErr w:type="spellStart"/>
      <w:r w:rsidRPr="006F7A3D">
        <w:t>Горбашко</w:t>
      </w:r>
      <w:proofErr w:type="spellEnd"/>
      <w:r w:rsidRPr="006F7A3D">
        <w:t>, 1982 г. [</w:t>
      </w:r>
      <w:r w:rsidR="00BC4E52">
        <w:t>16</w:t>
      </w:r>
      <w:r w:rsidRPr="006F7A3D">
        <w:t xml:space="preserve">] (приложение Г1), оценочную шкалу ACS (American College </w:t>
      </w:r>
      <w:proofErr w:type="spellStart"/>
      <w:r w:rsidRPr="006F7A3D">
        <w:t>of</w:t>
      </w:r>
      <w:proofErr w:type="spellEnd"/>
      <w:r w:rsidRPr="006F7A3D">
        <w:t xml:space="preserve"> </w:t>
      </w:r>
      <w:proofErr w:type="spellStart"/>
      <w:r w:rsidRPr="006F7A3D">
        <w:t>Surgeons</w:t>
      </w:r>
      <w:proofErr w:type="spellEnd"/>
      <w:r w:rsidRPr="006F7A3D">
        <w:t>) [1] (приложение Г2)</w:t>
      </w:r>
      <w:r w:rsidRPr="00240242">
        <w:rPr>
          <w:color w:val="000000" w:themeColor="text1"/>
        </w:rPr>
        <w:t xml:space="preserve"> </w:t>
      </w:r>
      <w:bookmarkStart w:id="32" w:name="_Toc146491589"/>
      <w:r w:rsidRPr="00240242">
        <w:rPr>
          <w:bCs/>
          <w:color w:val="000000" w:themeColor="text1"/>
        </w:rPr>
        <w:t>[</w:t>
      </w:r>
      <w:r w:rsidR="008803BE" w:rsidRPr="00240242">
        <w:rPr>
          <w:bCs/>
          <w:color w:val="000000" w:themeColor="text1"/>
        </w:rPr>
        <w:t>16</w:t>
      </w:r>
      <w:r w:rsidRPr="00240242">
        <w:rPr>
          <w:bCs/>
          <w:color w:val="000000" w:themeColor="text1"/>
        </w:rPr>
        <w:t>,1</w:t>
      </w:r>
      <w:r w:rsidR="008803BE" w:rsidRPr="00240242">
        <w:rPr>
          <w:bCs/>
          <w:color w:val="000000" w:themeColor="text1"/>
        </w:rPr>
        <w:t>9</w:t>
      </w:r>
      <w:r w:rsidRPr="00240242">
        <w:rPr>
          <w:bCs/>
          <w:color w:val="000000" w:themeColor="text1"/>
        </w:rPr>
        <w:t>]</w:t>
      </w:r>
      <w:r w:rsidRPr="006F7A3D">
        <w:rPr>
          <w:b/>
        </w:rPr>
        <w:t xml:space="preserve"> </w:t>
      </w:r>
    </w:p>
    <w:p w14:paraId="39AFCF5E" w14:textId="77777777" w:rsidR="002F4478" w:rsidRPr="002F4478" w:rsidRDefault="002F4478" w:rsidP="002F4478">
      <w:pPr>
        <w:pStyle w:val="a"/>
        <w:numPr>
          <w:ilvl w:val="0"/>
          <w:numId w:val="0"/>
        </w:numPr>
        <w:rPr>
          <w:b/>
          <w:bCs/>
        </w:rPr>
      </w:pPr>
      <w:bookmarkStart w:id="33" w:name="_Hlk200458224"/>
      <w:bookmarkEnd w:id="32"/>
      <w:r w:rsidRPr="002F4478">
        <w:rPr>
          <w:b/>
          <w:bCs/>
        </w:rPr>
        <w:t>Уровень убедительности рекомендаций С (уровень достоверности доказательств – 5)</w:t>
      </w:r>
    </w:p>
    <w:bookmarkEnd w:id="33"/>
    <w:p w14:paraId="706858D3" w14:textId="0EF07471" w:rsidR="00837091" w:rsidRPr="006F7A3D" w:rsidRDefault="00837091" w:rsidP="00837091">
      <w:pPr>
        <w:pStyle w:val="a"/>
        <w:rPr>
          <w:b/>
        </w:rPr>
      </w:pPr>
      <w:r w:rsidRPr="006F7A3D">
        <w:t xml:space="preserve">Пациентам с </w:t>
      </w:r>
      <w:r w:rsidR="008662EC">
        <w:t>СМВ</w:t>
      </w:r>
      <w:r w:rsidRPr="006F7A3D">
        <w:t xml:space="preserve"> для определения степени тяжести кровопотери рекомендуется использовать Шоковый индекс (Приложение Г7</w:t>
      </w:r>
      <w:r w:rsidRPr="00240242">
        <w:rPr>
          <w:color w:val="000000" w:themeColor="text1"/>
        </w:rPr>
        <w:t xml:space="preserve">) </w:t>
      </w:r>
      <w:r w:rsidRPr="00240242">
        <w:rPr>
          <w:bCs/>
          <w:color w:val="000000" w:themeColor="text1"/>
        </w:rPr>
        <w:t>[</w:t>
      </w:r>
      <w:r w:rsidR="00FE0D1D" w:rsidRPr="00240242">
        <w:rPr>
          <w:bCs/>
          <w:color w:val="000000" w:themeColor="text1"/>
        </w:rPr>
        <w:t>20</w:t>
      </w:r>
      <w:r w:rsidRPr="00240242">
        <w:rPr>
          <w:bCs/>
          <w:color w:val="000000" w:themeColor="text1"/>
        </w:rPr>
        <w:t>]</w:t>
      </w:r>
      <w:r w:rsidR="00240242" w:rsidRPr="00240242">
        <w:rPr>
          <w:b/>
          <w:color w:val="000000" w:themeColor="text1"/>
        </w:rPr>
        <w:t>.</w:t>
      </w:r>
    </w:p>
    <w:p w14:paraId="70CC7AAF" w14:textId="55F174E3" w:rsidR="002F4478" w:rsidRPr="002F4478" w:rsidRDefault="002F4478" w:rsidP="002F4478">
      <w:pPr>
        <w:pStyle w:val="a"/>
        <w:numPr>
          <w:ilvl w:val="0"/>
          <w:numId w:val="0"/>
        </w:numPr>
        <w:rPr>
          <w:b/>
          <w:bCs/>
        </w:rPr>
      </w:pPr>
      <w:bookmarkStart w:id="34" w:name="_Hlk200458193"/>
      <w:r w:rsidRPr="002F4478">
        <w:rPr>
          <w:b/>
          <w:bCs/>
        </w:rPr>
        <w:t>Уровень убедительности рекомендаций С (уровень достоверности доказательств – 4)</w:t>
      </w:r>
    </w:p>
    <w:bookmarkEnd w:id="34"/>
    <w:p w14:paraId="0D461B1A" w14:textId="3C38F99B" w:rsidR="00837091" w:rsidRPr="006F7A3D" w:rsidRDefault="00837091" w:rsidP="00837091">
      <w:pPr>
        <w:pStyle w:val="a"/>
      </w:pPr>
      <w:r w:rsidRPr="006F7A3D">
        <w:t xml:space="preserve">У пациентов с </w:t>
      </w:r>
      <w:r w:rsidR="008662EC">
        <w:t>СМВ</w:t>
      </w:r>
      <w:r w:rsidRPr="006F7A3D">
        <w:t xml:space="preserve"> рекомендуется оценить риск рецидива кровотечения по совокупности клинических и эндоскопических </w:t>
      </w:r>
      <w:r w:rsidRPr="00240242">
        <w:rPr>
          <w:color w:val="000000" w:themeColor="text1"/>
        </w:rPr>
        <w:t xml:space="preserve">данных </w:t>
      </w:r>
      <w:proofErr w:type="gramStart"/>
      <w:r w:rsidR="00FE0D1D" w:rsidRPr="00240242">
        <w:rPr>
          <w:color w:val="000000" w:themeColor="text1"/>
        </w:rPr>
        <w:t>[</w:t>
      </w:r>
      <w:r w:rsidRPr="00240242">
        <w:rPr>
          <w:color w:val="000000" w:themeColor="text1"/>
        </w:rPr>
        <w:t xml:space="preserve"> 11</w:t>
      </w:r>
      <w:proofErr w:type="gramEnd"/>
      <w:r w:rsidR="008D1E33" w:rsidRPr="00240242">
        <w:rPr>
          <w:color w:val="000000" w:themeColor="text1"/>
        </w:rPr>
        <w:t>, 15</w:t>
      </w:r>
      <w:r w:rsidR="00FE0D1D" w:rsidRPr="00240242">
        <w:rPr>
          <w:color w:val="000000" w:themeColor="text1"/>
        </w:rPr>
        <w:t>, 21, 22</w:t>
      </w:r>
      <w:r w:rsidRPr="00240242">
        <w:rPr>
          <w:color w:val="000000" w:themeColor="text1"/>
        </w:rPr>
        <w:t>].</w:t>
      </w:r>
    </w:p>
    <w:p w14:paraId="274196B8" w14:textId="0B3879B9" w:rsidR="002F4478" w:rsidRDefault="002F4478" w:rsidP="00240242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4)</w:t>
      </w:r>
    </w:p>
    <w:p w14:paraId="39D8995F" w14:textId="39BD1E56" w:rsidR="00837091" w:rsidRPr="00240242" w:rsidRDefault="00837091" w:rsidP="00240242">
      <w:pPr>
        <w:pStyle w:val="aff2"/>
      </w:pPr>
      <w:r w:rsidRPr="00FC5376">
        <w:rPr>
          <w:b/>
          <w:i w:val="0"/>
          <w:iCs w:val="0"/>
        </w:rPr>
        <w:lastRenderedPageBreak/>
        <w:t>Комментарии:</w:t>
      </w:r>
      <w:r w:rsidRPr="00463A60">
        <w:t xml:space="preserve"> Критериями высокого риска рецидива кровотечения</w:t>
      </w:r>
      <w:r w:rsidR="008662EC">
        <w:t xml:space="preserve"> при СМВ</w:t>
      </w:r>
      <w:r w:rsidRPr="00463A60">
        <w:t xml:space="preserve"> являются клинические (коллапс в анамнезе, тяжелая кровопотеря, тяжелая сопутствующая патология) и лабораторные признаки, отражающие в основном интенсивность кровотечения, а также эндоскопические признаки (</w:t>
      </w:r>
      <w:r w:rsidR="008662EC">
        <w:t xml:space="preserve">глубокие разрывы, продолжающееся кровотечение в момент </w:t>
      </w:r>
      <w:proofErr w:type="spellStart"/>
      <w:r w:rsidR="008662EC">
        <w:t>эндосокпии</w:t>
      </w:r>
      <w:proofErr w:type="spellEnd"/>
      <w:r w:rsidRPr="00463A60">
        <w:t>) [11,</w:t>
      </w:r>
      <w:r w:rsidRPr="00240242">
        <w:rPr>
          <w:color w:val="000000" w:themeColor="text1"/>
        </w:rPr>
        <w:t>1</w:t>
      </w:r>
      <w:r w:rsidR="00824295" w:rsidRPr="00240242">
        <w:rPr>
          <w:color w:val="000000" w:themeColor="text1"/>
        </w:rPr>
        <w:t>5,</w:t>
      </w:r>
      <w:r w:rsidR="00240242" w:rsidRPr="00240242">
        <w:rPr>
          <w:color w:val="000000" w:themeColor="text1"/>
        </w:rPr>
        <w:t xml:space="preserve"> </w:t>
      </w:r>
      <w:proofErr w:type="gramStart"/>
      <w:r w:rsidR="00824295" w:rsidRPr="00240242">
        <w:rPr>
          <w:color w:val="000000" w:themeColor="text1"/>
        </w:rPr>
        <w:t>21</w:t>
      </w:r>
      <w:r w:rsidR="00824295">
        <w:t xml:space="preserve"> </w:t>
      </w:r>
      <w:r w:rsidRPr="00463A60">
        <w:t>]</w:t>
      </w:r>
      <w:proofErr w:type="gramEnd"/>
      <w:r w:rsidRPr="00463A60">
        <w:t xml:space="preserve">. Для оценки риска рецидива </w:t>
      </w:r>
      <w:r w:rsidR="008662EC">
        <w:t>кровотечения</w:t>
      </w:r>
      <w:r w:rsidRPr="00463A60">
        <w:t xml:space="preserve"> и определения дальнейшей лечебной тактики могут быть использованы шкалы AIMS65 (приложение Г3), </w:t>
      </w:r>
      <w:proofErr w:type="spellStart"/>
      <w:r w:rsidRPr="00463A60">
        <w:t>Glasgo-Blathford</w:t>
      </w:r>
      <w:proofErr w:type="spellEnd"/>
      <w:r w:rsidRPr="00463A60">
        <w:t xml:space="preserve"> </w:t>
      </w:r>
      <w:proofErr w:type="spellStart"/>
      <w:r w:rsidRPr="00463A60">
        <w:t>Bleeding</w:t>
      </w:r>
      <w:proofErr w:type="spellEnd"/>
      <w:r w:rsidRPr="00463A60">
        <w:t xml:space="preserve"> </w:t>
      </w:r>
      <w:proofErr w:type="spellStart"/>
      <w:r w:rsidRPr="00463A60">
        <w:t>Score</w:t>
      </w:r>
      <w:proofErr w:type="spellEnd"/>
      <w:r w:rsidRPr="00463A60">
        <w:t xml:space="preserve"> (Приложение Г4) и многократно </w:t>
      </w:r>
      <w:proofErr w:type="spellStart"/>
      <w:r w:rsidRPr="00463A60">
        <w:t>валидированная</w:t>
      </w:r>
      <w:proofErr w:type="spellEnd"/>
      <w:r w:rsidRPr="00463A60">
        <w:t xml:space="preserve"> шкала </w:t>
      </w:r>
      <w:proofErr w:type="spellStart"/>
      <w:r w:rsidRPr="00463A60">
        <w:t>Rockall</w:t>
      </w:r>
      <w:proofErr w:type="spellEnd"/>
      <w:r w:rsidRPr="00463A60">
        <w:t xml:space="preserve"> (Приложение Г6).</w:t>
      </w:r>
    </w:p>
    <w:p w14:paraId="4580B04C" w14:textId="77777777" w:rsidR="00AE37FB" w:rsidRDefault="00F52CFD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35" w:name="_Toc26477694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2.1 Жалобы и анамнез</w:t>
      </w:r>
      <w:bookmarkEnd w:id="35"/>
    </w:p>
    <w:p w14:paraId="74F824D4" w14:textId="1CB29202" w:rsidR="00AE37FB" w:rsidRDefault="00F52CFD">
      <w:pPr>
        <w:spacing w:line="360" w:lineRule="auto"/>
      </w:pPr>
      <w:r>
        <w:t xml:space="preserve">Характерные для пациентов с </w:t>
      </w:r>
      <w:r w:rsidR="008662EC">
        <w:t>СМВ</w:t>
      </w:r>
      <w:r>
        <w:t xml:space="preserve"> жалобы и данные анамнеза указаны в подразделе 1.6.</w:t>
      </w:r>
    </w:p>
    <w:p w14:paraId="6EA9D552" w14:textId="77777777" w:rsidR="00837091" w:rsidRPr="006F7A3D" w:rsidRDefault="00837091" w:rsidP="00837091">
      <w:pPr>
        <w:pStyle w:val="a"/>
      </w:pPr>
      <w:r w:rsidRPr="006F7A3D">
        <w:t>У пациента</w:t>
      </w:r>
      <w:r w:rsidRPr="006F7A3D">
        <w:rPr>
          <w:color w:val="FF0000"/>
        </w:rPr>
        <w:t xml:space="preserve"> </w:t>
      </w:r>
      <w:r w:rsidRPr="006F7A3D">
        <w:t xml:space="preserve">с признаками кровотечения из верхних отделов ЖКТ рекомендуется выполнить анализ жалоб, анамнеза заболевания и анамнеза жизни на этапе поступления в стационар, но это не должно приводить к задержке неотложных диагностических и лечебных мероприятий </w:t>
      </w:r>
      <w:r w:rsidRPr="00240242">
        <w:rPr>
          <w:color w:val="000000" w:themeColor="text1"/>
        </w:rPr>
        <w:t>[</w:t>
      </w:r>
      <w:r w:rsidR="007224F8" w:rsidRPr="00240242">
        <w:rPr>
          <w:color w:val="000000" w:themeColor="text1"/>
        </w:rPr>
        <w:t>12, 13, 14, 19, 21, 23</w:t>
      </w:r>
      <w:r w:rsidRPr="00240242">
        <w:rPr>
          <w:color w:val="000000" w:themeColor="text1"/>
        </w:rPr>
        <w:t>].</w:t>
      </w:r>
    </w:p>
    <w:p w14:paraId="678083F9" w14:textId="77777777" w:rsidR="002F4478" w:rsidRPr="002F4478" w:rsidRDefault="002F4478" w:rsidP="00837091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610BCF79" w14:textId="2486EEB6" w:rsidR="00C777C2" w:rsidRPr="006F7A3D" w:rsidRDefault="00837091" w:rsidP="00837091">
      <w:pPr>
        <w:pStyle w:val="aff2"/>
      </w:pPr>
      <w:r w:rsidRPr="00FC5376">
        <w:rPr>
          <w:b/>
          <w:i w:val="0"/>
          <w:iCs w:val="0"/>
        </w:rPr>
        <w:t>Комментарии</w:t>
      </w:r>
      <w:proofErr w:type="gramStart"/>
      <w:r w:rsidRPr="00FC5376">
        <w:rPr>
          <w:b/>
          <w:i w:val="0"/>
          <w:iCs w:val="0"/>
        </w:rPr>
        <w:t>:</w:t>
      </w:r>
      <w:r w:rsidRPr="006F7A3D">
        <w:t xml:space="preserve"> Важно</w:t>
      </w:r>
      <w:proofErr w:type="gramEnd"/>
      <w:r w:rsidRPr="006F7A3D">
        <w:t xml:space="preserve"> выяснить, как давно началось кровотечение; отмечалось ли предобморочное состояние, потеря сознания; имелись единичные или повторные эпизоды кровавой рвоты, объём и характер рвотных масс (алая или тёмная кровь, сгустки, содержимое типа “кофейной гущи”); частоту эпизодов мелены. </w:t>
      </w:r>
    </w:p>
    <w:p w14:paraId="1D2338EA" w14:textId="0038E69A" w:rsidR="00837091" w:rsidRDefault="00837091" w:rsidP="00240242">
      <w:pPr>
        <w:spacing w:line="360" w:lineRule="auto"/>
      </w:pPr>
      <w:r w:rsidRPr="006F7A3D">
        <w:t xml:space="preserve">Необходимо выявить состояния, которые могут обусловить развитие острого </w:t>
      </w:r>
      <w:r w:rsidR="008662EC">
        <w:t>кровотечения при СМВ</w:t>
      </w:r>
      <w:r w:rsidRPr="006F7A3D">
        <w:t>: тяжелые сопутствующие заболевания (ИБС, инфаркт миокарда, сердечная недостаточность, нарушение мозгового кровообращения, почечная и печеночная недостаточность, онкологические и гематологические заболевания</w:t>
      </w:r>
      <w:r w:rsidR="008662EC">
        <w:t>, алкоголизм</w:t>
      </w:r>
      <w:r w:rsidRPr="006F7A3D">
        <w:t xml:space="preserve">); лечение </w:t>
      </w:r>
      <w:proofErr w:type="spellStart"/>
      <w:r w:rsidRPr="006F7A3D">
        <w:t>антитромботическими</w:t>
      </w:r>
      <w:proofErr w:type="spellEnd"/>
      <w:r w:rsidRPr="006F7A3D">
        <w:t xml:space="preserve"> средствами (Код АТХ: B01A).</w:t>
      </w:r>
    </w:p>
    <w:p w14:paraId="6B4B2852" w14:textId="0DB6B235" w:rsidR="00C777C2" w:rsidRPr="008156B7" w:rsidRDefault="00A4052B" w:rsidP="00A109C4">
      <w:pPr>
        <w:pStyle w:val="23"/>
        <w:numPr>
          <w:ilvl w:val="0"/>
          <w:numId w:val="7"/>
        </w:numPr>
        <w:shd w:val="clear" w:color="auto" w:fill="auto"/>
        <w:tabs>
          <w:tab w:val="left" w:pos="720"/>
        </w:tabs>
        <w:spacing w:line="413" w:lineRule="exact"/>
        <w:ind w:firstLine="460"/>
        <w:jc w:val="both"/>
        <w:rPr>
          <w:sz w:val="24"/>
          <w:szCs w:val="24"/>
        </w:rPr>
      </w:pPr>
      <w:r w:rsidRPr="008156B7">
        <w:rPr>
          <w:sz w:val="24"/>
          <w:szCs w:val="24"/>
        </w:rPr>
        <w:t xml:space="preserve">При поступлении в приёмное отделение пациента с подозрением на </w:t>
      </w:r>
      <w:r w:rsidR="008662EC">
        <w:rPr>
          <w:sz w:val="24"/>
          <w:szCs w:val="24"/>
        </w:rPr>
        <w:t>СМВ</w:t>
      </w:r>
      <w:r w:rsidRPr="008156B7">
        <w:rPr>
          <w:sz w:val="24"/>
          <w:szCs w:val="24"/>
        </w:rPr>
        <w:t xml:space="preserve"> рекомендуется осмотр врача-хирурга с целью исключения или подтверждения данного диагноза и определения дальнейшей тактики [108,110].</w:t>
      </w:r>
    </w:p>
    <w:p w14:paraId="3D56BE49" w14:textId="77777777" w:rsidR="00C777C2" w:rsidRPr="008156B7" w:rsidRDefault="00A4052B" w:rsidP="00C777C2">
      <w:pPr>
        <w:pStyle w:val="51"/>
        <w:shd w:val="clear" w:color="auto" w:fill="auto"/>
        <w:spacing w:after="240"/>
        <w:rPr>
          <w:sz w:val="24"/>
          <w:szCs w:val="24"/>
        </w:rPr>
      </w:pPr>
      <w:r w:rsidRPr="008156B7">
        <w:rPr>
          <w:sz w:val="24"/>
          <w:szCs w:val="24"/>
        </w:rPr>
        <w:t>Уровень убедительности рекомендации С (уровень достоверности доказательств - 5)</w:t>
      </w:r>
    </w:p>
    <w:p w14:paraId="6235AF18" w14:textId="77777777" w:rsidR="00837091" w:rsidRDefault="00837091">
      <w:pPr>
        <w:spacing w:line="360" w:lineRule="auto"/>
      </w:pPr>
    </w:p>
    <w:p w14:paraId="408B08B4" w14:textId="77777777" w:rsidR="00AE37FB" w:rsidRDefault="00F52CFD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36" w:name="_17dp8vu" w:colFirst="0" w:colLast="0"/>
      <w:bookmarkStart w:id="37" w:name="_Toc26477695"/>
      <w:bookmarkEnd w:id="36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2.2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Физикальное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обследование</w:t>
      </w:r>
      <w:bookmarkEnd w:id="37"/>
    </w:p>
    <w:p w14:paraId="30D9CB31" w14:textId="0787F30D" w:rsidR="00AE37FB" w:rsidRDefault="00F52CFD">
      <w:pPr>
        <w:spacing w:line="360" w:lineRule="auto"/>
      </w:pPr>
      <w:r>
        <w:t xml:space="preserve">Характерные для пациентов с </w:t>
      </w:r>
      <w:r w:rsidR="008662EC">
        <w:t>СМВ</w:t>
      </w:r>
      <w:r>
        <w:t xml:space="preserve"> данные </w:t>
      </w:r>
      <w:proofErr w:type="spellStart"/>
      <w:r>
        <w:t>физикального</w:t>
      </w:r>
      <w:proofErr w:type="spellEnd"/>
      <w:r>
        <w:t xml:space="preserve"> обследования приведены в подразделе 1.6.</w:t>
      </w:r>
    </w:p>
    <w:p w14:paraId="2E54DC8F" w14:textId="77777777" w:rsidR="00837091" w:rsidRPr="006F7A3D" w:rsidRDefault="00837091" w:rsidP="00837091">
      <w:pPr>
        <w:pStyle w:val="a"/>
      </w:pPr>
      <w:r w:rsidRPr="006F7A3D">
        <w:lastRenderedPageBreak/>
        <w:t xml:space="preserve">Пациенту с признаками кровотечения из верхних отделов ЖКТ рекомендуется провести обследование при поступлении, включающее оценку всех основных систем организма; </w:t>
      </w:r>
      <w:proofErr w:type="spellStart"/>
      <w:r w:rsidRPr="006F7A3D">
        <w:t>трансректальное</w:t>
      </w:r>
      <w:proofErr w:type="spellEnd"/>
      <w:r w:rsidRPr="006F7A3D">
        <w:t xml:space="preserve"> пальцевое исследование (A01.19.004); в необходимых случаях – зондирование желудка </w:t>
      </w:r>
      <w:r w:rsidRPr="00240242">
        <w:rPr>
          <w:color w:val="000000" w:themeColor="text1"/>
        </w:rPr>
        <w:t>[</w:t>
      </w:r>
      <w:r w:rsidR="00EF40D8" w:rsidRPr="00240242">
        <w:rPr>
          <w:color w:val="000000" w:themeColor="text1"/>
        </w:rPr>
        <w:t xml:space="preserve">12, 13, 14, </w:t>
      </w:r>
      <w:r w:rsidRPr="00240242">
        <w:rPr>
          <w:color w:val="000000" w:themeColor="text1"/>
        </w:rPr>
        <w:t xml:space="preserve"> </w:t>
      </w:r>
      <w:r w:rsidR="007224F8" w:rsidRPr="00240242">
        <w:rPr>
          <w:color w:val="000000" w:themeColor="text1"/>
        </w:rPr>
        <w:t>15</w:t>
      </w:r>
      <w:r w:rsidR="00EF40D8" w:rsidRPr="00240242">
        <w:rPr>
          <w:color w:val="000000" w:themeColor="text1"/>
        </w:rPr>
        <w:t>, 19, 21, 23</w:t>
      </w:r>
      <w:r w:rsidRPr="00240242">
        <w:rPr>
          <w:color w:val="000000" w:themeColor="text1"/>
        </w:rPr>
        <w:t>].</w:t>
      </w:r>
      <w:bookmarkStart w:id="38" w:name="_Toc146491593"/>
    </w:p>
    <w:bookmarkEnd w:id="38"/>
    <w:p w14:paraId="089E37EA" w14:textId="1104B5D9" w:rsidR="00837091" w:rsidRPr="002F4478" w:rsidRDefault="002F4478" w:rsidP="00837091">
      <w:pPr>
        <w:rPr>
          <w:b/>
          <w:bCs/>
        </w:rPr>
      </w:pPr>
      <w:r w:rsidRPr="002F4478">
        <w:rPr>
          <w:b/>
          <w:bCs/>
        </w:rPr>
        <w:t>Уровень убедительности рекомендации С (уровень достоверности доказательств - 5)</w:t>
      </w:r>
    </w:p>
    <w:p w14:paraId="38D3B6F1" w14:textId="77777777" w:rsidR="00837091" w:rsidRPr="006F7A3D" w:rsidRDefault="00837091" w:rsidP="00837091">
      <w:pPr>
        <w:pStyle w:val="aff2"/>
      </w:pPr>
      <w:r w:rsidRPr="00FC5376">
        <w:rPr>
          <w:b/>
          <w:i w:val="0"/>
          <w:iCs w:val="0"/>
        </w:rPr>
        <w:t>Комментарии:</w:t>
      </w:r>
      <w:r w:rsidRPr="006F7A3D">
        <w:t xml:space="preserve"> Данные объективного обследования</w:t>
      </w:r>
      <w:r w:rsidRPr="006F7A3D">
        <w:rPr>
          <w:b/>
        </w:rPr>
        <w:t xml:space="preserve"> </w:t>
      </w:r>
      <w:r w:rsidRPr="006F7A3D">
        <w:t>в совокупности с жалобами и анамнезом, уже на этапе поступления</w:t>
      </w:r>
      <w:r w:rsidRPr="006F7A3D">
        <w:rPr>
          <w:b/>
        </w:rPr>
        <w:t xml:space="preserve"> </w:t>
      </w:r>
      <w:r w:rsidRPr="006F7A3D">
        <w:t>пациента позволяют судить о степени тяжести и предполагаемом источнике кровотечения, сопутствующих заболеваниях. Спутанное сознание, резкая бледность кожных покровов и конъюнктивы, частый пульс слабого наполнения и напряжения, снижение артериального и пульсового давления, наличие в желудке большого количества крови и сгустков, а при ректальном исследовании</w:t>
      </w:r>
      <w:r>
        <w:t xml:space="preserve"> – </w:t>
      </w:r>
      <w:r w:rsidRPr="006F7A3D">
        <w:t>чёрного жидкого, либо с примесью крови содержимого служат признаками острого массивного кровотечения.</w:t>
      </w:r>
    </w:p>
    <w:p w14:paraId="2D1E1877" w14:textId="77777777" w:rsidR="00837091" w:rsidRPr="002F4478" w:rsidRDefault="00837091" w:rsidP="002F4478">
      <w:pPr>
        <w:spacing w:line="360" w:lineRule="auto"/>
        <w:ind w:firstLine="284"/>
        <w:jc w:val="both"/>
        <w:rPr>
          <w:i/>
          <w:iCs/>
        </w:rPr>
      </w:pPr>
      <w:r w:rsidRPr="002F4478">
        <w:rPr>
          <w:i/>
          <w:iCs/>
        </w:rPr>
        <w:t xml:space="preserve">Осмотр кожных покровов и видимых слизистых оболочек может выявить их </w:t>
      </w:r>
      <w:proofErr w:type="spellStart"/>
      <w:r w:rsidRPr="002F4478">
        <w:rPr>
          <w:i/>
          <w:iCs/>
        </w:rPr>
        <w:t>субъиктеричность</w:t>
      </w:r>
      <w:proofErr w:type="spellEnd"/>
      <w:r w:rsidRPr="002F4478">
        <w:rPr>
          <w:i/>
          <w:iCs/>
        </w:rPr>
        <w:t xml:space="preserve"> или желтушность, наличие сосудистых звёздочек, расширение подкожных вен переднебоковых отделов живота, что обычно бывает при заболеваниях печени; внутрикожные или подкожные кровоизлияния, множественные </w:t>
      </w:r>
      <w:proofErr w:type="spellStart"/>
      <w:r w:rsidRPr="002F4478">
        <w:rPr>
          <w:i/>
          <w:iCs/>
        </w:rPr>
        <w:t>телеангиэктазии</w:t>
      </w:r>
      <w:proofErr w:type="spellEnd"/>
      <w:r w:rsidRPr="002F4478">
        <w:rPr>
          <w:i/>
          <w:iCs/>
        </w:rPr>
        <w:t xml:space="preserve"> при заболеваниях кровеносных сосудов и нарушениях свертывающей системы крови. Клиническими наблюдениями проверено, что АД ниже 100 мм рт. ст. и частота пульса более 100 ударов в минуту у больного с нормальным обычным давлением соответствуют кровопотере около 20% ОЦК. Перкуссия (A01.16.004) и пальпация (A01.16.003) в ряде случаев позволяет выявить опухоль желудка, увеличение печени и селезенки, признаки асцита, увеличенные плотные лимфатические узлы. Осмотр больного необходимо закончить пальцевым исследованием прямой кишки, а затем зондированием желудка. Полученные при этом объективные данные, независимо от наличия или отсутствия анамнестических указаний на кровавую рвоту и дегтеобразный стул, являются важными признаками, обосновывающими клинический диагноз.</w:t>
      </w:r>
    </w:p>
    <w:p w14:paraId="769D49B2" w14:textId="77777777" w:rsidR="00BC4E52" w:rsidRPr="002F4478" w:rsidRDefault="00BC4E52" w:rsidP="002F4478">
      <w:pPr>
        <w:spacing w:line="360" w:lineRule="auto"/>
        <w:jc w:val="both"/>
        <w:rPr>
          <w:i/>
          <w:iCs/>
        </w:rPr>
      </w:pPr>
    </w:p>
    <w:p w14:paraId="0B2121E9" w14:textId="77777777" w:rsidR="00837091" w:rsidRDefault="00837091" w:rsidP="002F4478">
      <w:pPr>
        <w:spacing w:line="360" w:lineRule="auto"/>
        <w:jc w:val="both"/>
      </w:pPr>
    </w:p>
    <w:p w14:paraId="111E9F05" w14:textId="77777777" w:rsidR="00AE37FB" w:rsidRDefault="00F52CFD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39" w:name="_3rdcrjn" w:colFirst="0" w:colLast="0"/>
      <w:bookmarkStart w:id="40" w:name="_Toc26477696"/>
      <w:bookmarkEnd w:id="39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2.3 Лабораторные диагностические исследования</w:t>
      </w:r>
      <w:bookmarkEnd w:id="40"/>
    </w:p>
    <w:p w14:paraId="3373EBD7" w14:textId="3D11A68D" w:rsidR="00AE37FB" w:rsidRDefault="00F52CFD" w:rsidP="008662EC">
      <w:pPr>
        <w:spacing w:line="360" w:lineRule="auto"/>
      </w:pPr>
      <w:bookmarkStart w:id="41" w:name="_Toc26477697"/>
      <w:r>
        <w:rPr>
          <w:i/>
        </w:rPr>
        <w:t xml:space="preserve">   </w:t>
      </w:r>
    </w:p>
    <w:p w14:paraId="790097F2" w14:textId="7E48DF9E" w:rsidR="00B610A2" w:rsidRDefault="00837091" w:rsidP="008156B7">
      <w:pPr>
        <w:spacing w:line="360" w:lineRule="auto"/>
      </w:pPr>
      <w:r>
        <w:tab/>
      </w:r>
      <w:r w:rsidR="008662EC">
        <w:t xml:space="preserve">Специфических для СМВ лабораторных признаков не существует. </w:t>
      </w:r>
      <w:r w:rsidRPr="006F7A3D">
        <w:t>Лабораторные исследования у</w:t>
      </w:r>
      <w:r w:rsidRPr="00C012AC">
        <w:t xml:space="preserve"> </w:t>
      </w:r>
      <w:r w:rsidRPr="006F7A3D">
        <w:t xml:space="preserve">пациентов с </w:t>
      </w:r>
      <w:proofErr w:type="spellStart"/>
      <w:r w:rsidR="008662EC">
        <w:t>кротечением</w:t>
      </w:r>
      <w:proofErr w:type="spellEnd"/>
      <w:r w:rsidR="008662EC">
        <w:t xml:space="preserve"> при СМВ</w:t>
      </w:r>
      <w:r w:rsidR="00227E26">
        <w:t>,</w:t>
      </w:r>
      <w:r w:rsidRPr="006F7A3D">
        <w:t xml:space="preserve"> как правило</w:t>
      </w:r>
      <w:r w:rsidR="00227E26">
        <w:t>,</w:t>
      </w:r>
      <w:r w:rsidRPr="006F7A3D">
        <w:t xml:space="preserve"> включают определение в экстренном порядке групп крови по системе AB0, системы Резус (резус-фактор), </w:t>
      </w:r>
      <w:proofErr w:type="spellStart"/>
      <w:r w:rsidRPr="006F7A3D">
        <w:t>Kell</w:t>
      </w:r>
      <w:proofErr w:type="spellEnd"/>
      <w:r w:rsidRPr="00C012AC">
        <w:t>-</w:t>
      </w:r>
      <w:r w:rsidR="00E31749">
        <w:lastRenderedPageBreak/>
        <w:t>при</w:t>
      </w:r>
      <w:r w:rsidRPr="006F7A3D">
        <w:t xml:space="preserve">надлежности; выполнить общий клинический анализ крови; исследование уровня натрия в крови, исследование уровня калия в крови, исследование уровня хлоридов в крови, исследование кислотно-основного состояния газов крови, исследование уровня </w:t>
      </w:r>
      <w:proofErr w:type="spellStart"/>
      <w:r w:rsidRPr="006F7A3D">
        <w:t>осмолярности</w:t>
      </w:r>
      <w:proofErr w:type="spellEnd"/>
      <w:r w:rsidRPr="006F7A3D">
        <w:t xml:space="preserve"> (</w:t>
      </w:r>
      <w:proofErr w:type="spellStart"/>
      <w:r w:rsidRPr="006F7A3D">
        <w:t>осмоляльности</w:t>
      </w:r>
      <w:proofErr w:type="spellEnd"/>
      <w:r w:rsidRPr="006F7A3D">
        <w:t xml:space="preserve">) крови; исследование уровня мочевины в крови, исследование уровня креатинина в крови, определение </w:t>
      </w:r>
      <w:proofErr w:type="spellStart"/>
      <w:r w:rsidRPr="006F7A3D">
        <w:t>протромбинового</w:t>
      </w:r>
      <w:proofErr w:type="spellEnd"/>
      <w:r w:rsidRPr="006F7A3D">
        <w:t xml:space="preserve"> (</w:t>
      </w:r>
      <w:proofErr w:type="spellStart"/>
      <w:r w:rsidRPr="006F7A3D">
        <w:t>тромбопла</w:t>
      </w:r>
      <w:r w:rsidR="00E31749">
        <w:t>с</w:t>
      </w:r>
      <w:r w:rsidRPr="006F7A3D">
        <w:t>тинового</w:t>
      </w:r>
      <w:proofErr w:type="spellEnd"/>
      <w:r w:rsidRPr="006F7A3D">
        <w:t xml:space="preserve">) времени в крови или в плазме, определение международного нормализованного отношения, исследование уровня фибриногена в крови; исследование уровня глюкозы в крови, исследование уровня общего белка в крови, исследование уровня альбумина в крови, исследование уровня общего билирубина в крови, определение активности </w:t>
      </w:r>
      <w:r w:rsidRPr="00240242">
        <w:rPr>
          <w:color w:val="000000" w:themeColor="text1"/>
        </w:rPr>
        <w:t xml:space="preserve">аланинаминотрансферазы в крови, определение активности </w:t>
      </w:r>
      <w:proofErr w:type="spellStart"/>
      <w:r w:rsidRPr="00240242">
        <w:rPr>
          <w:color w:val="000000" w:themeColor="text1"/>
        </w:rPr>
        <w:t>аспартатаминотрансферазы</w:t>
      </w:r>
      <w:proofErr w:type="spellEnd"/>
      <w:r w:rsidRPr="00240242">
        <w:rPr>
          <w:color w:val="000000" w:themeColor="text1"/>
        </w:rPr>
        <w:t xml:space="preserve"> в крови) [</w:t>
      </w:r>
      <w:r w:rsidR="000103B2" w:rsidRPr="00240242">
        <w:rPr>
          <w:color w:val="000000" w:themeColor="text1"/>
        </w:rPr>
        <w:t>12, 13, 14, 15, 19, 21, 23</w:t>
      </w:r>
      <w:r w:rsidRPr="00240242">
        <w:rPr>
          <w:color w:val="000000" w:themeColor="text1"/>
        </w:rPr>
        <w:t>].</w:t>
      </w:r>
    </w:p>
    <w:p w14:paraId="26D22869" w14:textId="71FB6DB5" w:rsidR="00837091" w:rsidRPr="002F4478" w:rsidRDefault="00837091" w:rsidP="00837091">
      <w:pPr>
        <w:pStyle w:val="aff2"/>
        <w:rPr>
          <w:i w:val="0"/>
          <w:iCs w:val="0"/>
        </w:rPr>
      </w:pPr>
      <w:r w:rsidRPr="002F4478">
        <w:rPr>
          <w:i w:val="0"/>
          <w:iCs w:val="0"/>
        </w:rPr>
        <w:t xml:space="preserve">Падение уровня гемоглобина, уменьшение числа эритроцитов, снижение гематокрита, несомненно ориентируют в отношении тяжести кровопотери. Однако в первые часы от начала острого кровотечения, даже при его интенсивном характере, </w:t>
      </w:r>
      <w:proofErr w:type="spellStart"/>
      <w:r w:rsidRPr="002F4478">
        <w:rPr>
          <w:i w:val="0"/>
          <w:iCs w:val="0"/>
        </w:rPr>
        <w:t>гемодилюция</w:t>
      </w:r>
      <w:proofErr w:type="spellEnd"/>
      <w:r w:rsidRPr="002F4478">
        <w:rPr>
          <w:i w:val="0"/>
          <w:iCs w:val="0"/>
        </w:rPr>
        <w:t xml:space="preserve"> не успевает развиться и поэтому все эти показатели могут меняться несущественно. Кроме анемии в результате острой кровопотери и действия крови, излившейся в просвет пищеварительного тракта, нередко отмечается умеренный лейкоцитоз и гипербилирубинемия (за счет непрямой фракции), повышение уровня мочевины при нормальных значениях креатинина, что связано с синдромом всасывания крови в кишечнике. </w:t>
      </w:r>
    </w:p>
    <w:p w14:paraId="67650F25" w14:textId="77777777" w:rsidR="00B610A2" w:rsidRDefault="00837091" w:rsidP="008156B7">
      <w:pPr>
        <w:spacing w:line="360" w:lineRule="auto"/>
      </w:pPr>
      <w:r w:rsidRPr="009D3B88">
        <w:t xml:space="preserve">Исследование ОЦК и его компонентов, с использованием красителей и радиоизотопов, в настоящее время практически не используется. Тяжесть состояния больного и его индивидуальные реакции на перенесенную кровопотерю, достаточно точно характеризует ряд показателей центральной гемодинамики, транспорта кислорода, а также метаболические нарушения (мочевина крови, электролиты, КЩС, </w:t>
      </w:r>
      <w:proofErr w:type="spellStart"/>
      <w:r w:rsidRPr="009D3B88">
        <w:t>осмолярность</w:t>
      </w:r>
      <w:proofErr w:type="spellEnd"/>
      <w:r w:rsidRPr="009D3B88">
        <w:t xml:space="preserve"> плазмы и др.). </w:t>
      </w:r>
    </w:p>
    <w:p w14:paraId="2B02F7D4" w14:textId="77777777" w:rsidR="00B610A2" w:rsidRDefault="00837091" w:rsidP="008156B7">
      <w:pPr>
        <w:spacing w:line="360" w:lineRule="auto"/>
      </w:pPr>
      <w:r w:rsidRPr="006F7A3D">
        <w:t xml:space="preserve">Кровопотеря, в особенности тяжелой степени, может привести к гипокоагуляции с удлинением времени свертывания крови, снижением уровня протромбина и фибриногена вплоть до развития острого </w:t>
      </w:r>
      <w:proofErr w:type="spellStart"/>
      <w:r w:rsidRPr="006F7A3D">
        <w:t>фибринолиза</w:t>
      </w:r>
      <w:proofErr w:type="spellEnd"/>
      <w:r w:rsidRPr="006F7A3D">
        <w:t>.</w:t>
      </w:r>
    </w:p>
    <w:p w14:paraId="2BEA3D62" w14:textId="77777777" w:rsidR="00837091" w:rsidRPr="008156B7" w:rsidRDefault="00837091">
      <w:pPr>
        <w:spacing w:line="360" w:lineRule="auto"/>
        <w:ind w:firstLine="708"/>
        <w:rPr>
          <w:iCs/>
        </w:rPr>
      </w:pPr>
    </w:p>
    <w:p w14:paraId="5441A960" w14:textId="77777777" w:rsidR="00AE37FB" w:rsidRDefault="00F52CFD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2.4 Инструментальные диагностические исследования</w:t>
      </w:r>
      <w:bookmarkEnd w:id="41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14:paraId="760B9A5E" w14:textId="125581E7" w:rsidR="00AE37FB" w:rsidRPr="001740F0" w:rsidRDefault="00F52CFD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   •      Всем пациентам с подозрением на </w:t>
      </w:r>
      <w:r w:rsidR="008662EC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кровотечение при СМВ</w:t>
      </w:r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, при отсутствии противопоказаний, с целью подтверждения диагноза рекомендуется проведение </w:t>
      </w:r>
      <w:proofErr w:type="spellStart"/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эзофагогастродуоденоскопии</w:t>
      </w:r>
      <w:proofErr w:type="spellEnd"/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(ЭГДС)</w:t>
      </w:r>
      <w:r w:rsidR="00837091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</w:t>
      </w:r>
      <w:r w:rsidR="00837091" w:rsidRPr="001740F0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(А.03.16.001)</w:t>
      </w:r>
      <w:r w:rsidRPr="001740F0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</w:t>
      </w:r>
      <w:r w:rsidRPr="001740F0">
        <w:rPr>
          <w:rFonts w:ascii="Times New Roman" w:hAnsi="Times New Roman" w:cs="Times New Roman"/>
          <w:color w:val="000000" w:themeColor="text1"/>
          <w:sz w:val="24"/>
          <w:szCs w:val="24"/>
        </w:rPr>
        <w:t>[2].</w:t>
      </w:r>
    </w:p>
    <w:p w14:paraId="362E07D4" w14:textId="5113461D" w:rsidR="00AE37FB" w:rsidRDefault="00F52CFD">
      <w:pPr>
        <w:spacing w:line="360" w:lineRule="auto"/>
        <w:rPr>
          <w:b/>
        </w:rPr>
      </w:pPr>
      <w:r>
        <w:rPr>
          <w:b/>
        </w:rPr>
        <w:t>Уровень убедительности рекомендаций С (уровень достоверности доказательств – 5)</w:t>
      </w:r>
    </w:p>
    <w:p w14:paraId="5B1F7297" w14:textId="7EA9E727" w:rsidR="00AE37FB" w:rsidRDefault="00F52CFD" w:rsidP="005A1FA2">
      <w:pPr>
        <w:spacing w:line="360" w:lineRule="auto"/>
        <w:rPr>
          <w:i/>
        </w:rPr>
      </w:pPr>
      <w:r>
        <w:rPr>
          <w:b/>
        </w:rPr>
        <w:lastRenderedPageBreak/>
        <w:t>Комментарии</w:t>
      </w:r>
      <w:r>
        <w:t xml:space="preserve">: </w:t>
      </w:r>
      <w:r>
        <w:rPr>
          <w:i/>
        </w:rPr>
        <w:t xml:space="preserve">эндоскопическое исследование подтверждает наличие </w:t>
      </w:r>
      <w:r w:rsidR="005A1FA2">
        <w:rPr>
          <w:i/>
        </w:rPr>
        <w:t>разрыва стенки пищевода и/или желудка</w:t>
      </w:r>
      <w:r>
        <w:rPr>
          <w:i/>
        </w:rPr>
        <w:t>, уточняет его локализацию, форму, размеры, глубину</w:t>
      </w:r>
      <w:r w:rsidR="005A1FA2">
        <w:rPr>
          <w:i/>
        </w:rPr>
        <w:t xml:space="preserve">, наличие грыжи пищеводного отверстия диафрагмы и </w:t>
      </w:r>
      <w:proofErr w:type="spellStart"/>
      <w:r w:rsidR="005A1FA2">
        <w:rPr>
          <w:i/>
        </w:rPr>
        <w:t>рефклюкс</w:t>
      </w:r>
      <w:proofErr w:type="spellEnd"/>
      <w:r w:rsidR="005A1FA2">
        <w:rPr>
          <w:i/>
        </w:rPr>
        <w:t>-эзофагита</w:t>
      </w:r>
      <w:r>
        <w:rPr>
          <w:i/>
        </w:rPr>
        <w:t xml:space="preserve">. </w:t>
      </w:r>
    </w:p>
    <w:p w14:paraId="5F3E0C9D" w14:textId="77777777" w:rsidR="005A1FA2" w:rsidRDefault="005A1FA2" w:rsidP="005A1FA2">
      <w:pPr>
        <w:spacing w:line="360" w:lineRule="auto"/>
        <w:rPr>
          <w:i/>
        </w:rPr>
      </w:pPr>
    </w:p>
    <w:p w14:paraId="5DF07692" w14:textId="33A1BF8B" w:rsidR="00837091" w:rsidRPr="006F7A3D" w:rsidRDefault="00837091" w:rsidP="002F4478">
      <w:pPr>
        <w:pStyle w:val="af6"/>
        <w:numPr>
          <w:ilvl w:val="0"/>
          <w:numId w:val="14"/>
        </w:numPr>
        <w:spacing w:line="360" w:lineRule="auto"/>
        <w:ind w:left="0" w:firstLine="142"/>
      </w:pPr>
      <w:r w:rsidRPr="006F7A3D">
        <w:t>Экстренное эндоскопическое исследование</w:t>
      </w:r>
      <w:r>
        <w:t xml:space="preserve"> – </w:t>
      </w:r>
      <w:proofErr w:type="spellStart"/>
      <w:r w:rsidRPr="006F7A3D">
        <w:t>эзофагогастродуоденоскопию</w:t>
      </w:r>
      <w:proofErr w:type="spellEnd"/>
      <w:r w:rsidRPr="006F7A3D">
        <w:t xml:space="preserve"> (ЭГДС) (A03.16.001)</w:t>
      </w:r>
      <w:r w:rsidRPr="002F4478">
        <w:rPr>
          <w:color w:val="3F3F3F"/>
          <w:sz w:val="26"/>
          <w:szCs w:val="26"/>
          <w:lang w:eastAsia="en-GB"/>
        </w:rPr>
        <w:t xml:space="preserve"> </w:t>
      </w:r>
      <w:r w:rsidRPr="006F7A3D">
        <w:t>рекомендуется выполнять всем пациентам с острым кровотечением из верхних отделов пищеварительного тракта, под процедурной седацией с мониторингом основ</w:t>
      </w:r>
      <w:r w:rsidR="00E31749">
        <w:t>н</w:t>
      </w:r>
      <w:r w:rsidRPr="006F7A3D">
        <w:t xml:space="preserve">ых параметров жизнедеятельности пациента во время проведения анестезии (B03.003.006), параллельно с проведением </w:t>
      </w:r>
      <w:proofErr w:type="spellStart"/>
      <w:r w:rsidRPr="006F7A3D">
        <w:t>инфузионно-трансфузионной</w:t>
      </w:r>
      <w:proofErr w:type="spellEnd"/>
      <w:r w:rsidRPr="006F7A3D">
        <w:t xml:space="preserve"> </w:t>
      </w:r>
      <w:r w:rsidRPr="002F4478">
        <w:rPr>
          <w:color w:val="000000" w:themeColor="text1"/>
        </w:rPr>
        <w:t xml:space="preserve">терапии </w:t>
      </w:r>
      <w:r w:rsidR="00013D7C" w:rsidRPr="002F4478">
        <w:rPr>
          <w:color w:val="000000" w:themeColor="text1"/>
        </w:rPr>
        <w:t>[15, 27</w:t>
      </w:r>
      <w:r w:rsidRPr="002F4478">
        <w:rPr>
          <w:color w:val="000000" w:themeColor="text1"/>
        </w:rPr>
        <w:t xml:space="preserve">, </w:t>
      </w:r>
      <w:r w:rsidR="00013D7C" w:rsidRPr="002F4478">
        <w:rPr>
          <w:color w:val="000000" w:themeColor="text1"/>
        </w:rPr>
        <w:t>28</w:t>
      </w:r>
      <w:r w:rsidRPr="002F4478">
        <w:rPr>
          <w:color w:val="000000" w:themeColor="text1"/>
        </w:rPr>
        <w:t>].</w:t>
      </w:r>
      <w:bookmarkStart w:id="42" w:name="_Toc146491596"/>
    </w:p>
    <w:bookmarkEnd w:id="42"/>
    <w:p w14:paraId="65B7A3C9" w14:textId="77777777" w:rsidR="002F4478" w:rsidRPr="002F4478" w:rsidRDefault="002F4478" w:rsidP="00837091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75AE0F3B" w14:textId="1DFF499C" w:rsidR="00837091" w:rsidRPr="006F7A3D" w:rsidRDefault="00837091" w:rsidP="00837091">
      <w:pPr>
        <w:pStyle w:val="aff2"/>
      </w:pPr>
      <w:r w:rsidRPr="00FC5376">
        <w:rPr>
          <w:b/>
          <w:i w:val="0"/>
          <w:iCs w:val="0"/>
        </w:rPr>
        <w:t>Комментарии:</w:t>
      </w:r>
      <w:r w:rsidRPr="006F7A3D">
        <w:t xml:space="preserve"> ЭГДС необходимо выполнить в течение 2 часов от момента госпитализации пациента. Решающее значение для установления источника и характера кровотечения, оценки необходимости и возможности остановки/профилактики кровотечения через эндоскоп, а также для прогнозирования риска рецидива кровотечения принадлежит эндоскопическому методу </w:t>
      </w:r>
    </w:p>
    <w:p w14:paraId="318B3043" w14:textId="6A329849" w:rsidR="00837091" w:rsidRPr="006F7A3D" w:rsidRDefault="00837091" w:rsidP="00837091">
      <w:pPr>
        <w:pStyle w:val="a"/>
      </w:pPr>
      <w:r w:rsidRPr="006F7A3D">
        <w:t xml:space="preserve">Перед выполнением ЭГДС пациентам с подозрением на </w:t>
      </w:r>
      <w:r w:rsidR="005A1FA2">
        <w:t>пищеводно-желудочное</w:t>
      </w:r>
      <w:r w:rsidRPr="006F7A3D">
        <w:t xml:space="preserve"> кровотечение рекомендуется выполнить зондирование желудка (A11.16.009) с последующим промыванием желудка (A11.16.</w:t>
      </w:r>
      <w:r w:rsidRPr="0014086F">
        <w:rPr>
          <w:color w:val="000000" w:themeColor="text1"/>
        </w:rPr>
        <w:t>008) [</w:t>
      </w:r>
      <w:r w:rsidR="00013D7C" w:rsidRPr="0014086F">
        <w:rPr>
          <w:color w:val="000000" w:themeColor="text1"/>
        </w:rPr>
        <w:t>15</w:t>
      </w:r>
      <w:r w:rsidRPr="0014086F">
        <w:rPr>
          <w:color w:val="000000" w:themeColor="text1"/>
        </w:rPr>
        <w:t>].</w:t>
      </w:r>
      <w:bookmarkStart w:id="43" w:name="_Toc146491597"/>
    </w:p>
    <w:p w14:paraId="6EADA748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bookmarkEnd w:id="43"/>
    <w:p w14:paraId="501AC436" w14:textId="77777777" w:rsidR="00837091" w:rsidRPr="006F7A3D" w:rsidRDefault="00837091" w:rsidP="00837091">
      <w:pPr>
        <w:pStyle w:val="aff2"/>
      </w:pPr>
      <w:r w:rsidRPr="00FC5376">
        <w:rPr>
          <w:b/>
          <w:i w:val="0"/>
          <w:iCs w:val="0"/>
        </w:rPr>
        <w:t>Комментарии:</w:t>
      </w:r>
      <w:r w:rsidRPr="006F7A3D">
        <w:rPr>
          <w:b/>
        </w:rPr>
        <w:t xml:space="preserve"> </w:t>
      </w:r>
      <w:r w:rsidRPr="006F7A3D">
        <w:t xml:space="preserve">Европейское общество желудочно-кишечной эндоскопии (ESGE) </w:t>
      </w:r>
      <w:r>
        <w:t>считает возможным для этой цели также</w:t>
      </w:r>
      <w:r w:rsidRPr="006F7A3D">
        <w:t xml:space="preserve"> использование стимуляторов моторики желудочно-кишечного тракта (Код АТХ: A03F) или </w:t>
      </w:r>
      <w:r w:rsidRPr="00EC60B0">
        <w:t>#</w:t>
      </w:r>
      <w:r w:rsidRPr="006F7A3D">
        <w:t>Эритромицина (Код АТХ: J01FA01).</w:t>
      </w:r>
      <w:r>
        <w:t xml:space="preserve"> </w:t>
      </w:r>
      <w:r w:rsidRPr="006F7A3D">
        <w:t>Европейское общество желудочно-кишечной эндоскопии (ESGE) также рекомендует выполнять интубацию трахеи перед проведением ЭГДС у пациентов с продолжающейся активной кровавой рвотой, энцефалопатией, возбуждением, с целью защиты дыхательных путей пациента от потенциальной аспирации желудочного содержимого</w:t>
      </w:r>
      <w:r w:rsidRPr="001B45DC">
        <w:rPr>
          <w:color w:val="000000" w:themeColor="text1"/>
        </w:rPr>
        <w:t xml:space="preserve"> [</w:t>
      </w:r>
      <w:r w:rsidR="00525943" w:rsidRPr="001B45DC">
        <w:rPr>
          <w:color w:val="000000" w:themeColor="text1"/>
        </w:rPr>
        <w:t>12</w:t>
      </w:r>
      <w:r w:rsidRPr="001B45DC">
        <w:rPr>
          <w:color w:val="000000" w:themeColor="text1"/>
        </w:rPr>
        <w:t xml:space="preserve">]. </w:t>
      </w:r>
    </w:p>
    <w:p w14:paraId="2DE62B4D" w14:textId="6BD6B284" w:rsidR="00837091" w:rsidRPr="001B45DC" w:rsidRDefault="00837091" w:rsidP="00837091">
      <w:pPr>
        <w:pStyle w:val="a"/>
        <w:rPr>
          <w:color w:val="000000" w:themeColor="text1"/>
        </w:rPr>
      </w:pPr>
      <w:r w:rsidRPr="006F7A3D">
        <w:t xml:space="preserve">При обнаружении </w:t>
      </w:r>
      <w:r w:rsidR="005A1FA2" w:rsidRPr="006F7A3D">
        <w:t>во</w:t>
      </w:r>
      <w:r w:rsidR="005A1FA2">
        <w:t xml:space="preserve"> </w:t>
      </w:r>
      <w:r w:rsidR="005A1FA2" w:rsidRPr="006F7A3D">
        <w:t>время</w:t>
      </w:r>
      <w:r w:rsidRPr="006F7A3D">
        <w:t xml:space="preserve"> ЭГДС в просвете желудка большого количества крови, сгустков, пищевых масс, рекомендуется извлечь эндоскоп медицинский гибкий для обследования желудочно-кишечного тракта и эвакуировать содержимое через зонд </w:t>
      </w:r>
      <w:r w:rsidRPr="001B45DC">
        <w:rPr>
          <w:color w:val="000000" w:themeColor="text1"/>
        </w:rPr>
        <w:t>желудочный [1</w:t>
      </w:r>
      <w:r w:rsidR="00525943" w:rsidRPr="001B45DC">
        <w:rPr>
          <w:color w:val="000000" w:themeColor="text1"/>
        </w:rPr>
        <w:t>5</w:t>
      </w:r>
      <w:r w:rsidRPr="001B45DC">
        <w:rPr>
          <w:color w:val="000000" w:themeColor="text1"/>
        </w:rPr>
        <w:t>].</w:t>
      </w:r>
    </w:p>
    <w:p w14:paraId="191BCD29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bookmarkStart w:id="44" w:name="_Toc146491598"/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bookmarkEnd w:id="44"/>
    <w:p w14:paraId="27987472" w14:textId="0353BA1F" w:rsidR="002B071F" w:rsidRDefault="002523A9" w:rsidP="002F4478">
      <w:pPr>
        <w:spacing w:line="360" w:lineRule="auto"/>
        <w:jc w:val="both"/>
        <w:rPr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Комментарии.</w:t>
      </w:r>
      <w:r>
        <w:rPr>
          <w:b/>
          <w:color w:val="000000" w:themeColor="text1"/>
        </w:rPr>
        <w:t xml:space="preserve"> </w:t>
      </w:r>
      <w:r w:rsidR="005A1FA2">
        <w:rPr>
          <w:i/>
          <w:color w:val="000000" w:themeColor="text1"/>
        </w:rPr>
        <w:t>Б</w:t>
      </w:r>
      <w:r>
        <w:rPr>
          <w:i/>
          <w:color w:val="000000" w:themeColor="text1"/>
        </w:rPr>
        <w:t>иопсия</w:t>
      </w:r>
      <w:r w:rsidR="005A1FA2">
        <w:rPr>
          <w:i/>
          <w:color w:val="000000" w:themeColor="text1"/>
        </w:rPr>
        <w:t xml:space="preserve"> краев разрывов пищевода и желудка в большинстве случаев нецелесообразна, может </w:t>
      </w:r>
      <w:r>
        <w:rPr>
          <w:i/>
          <w:color w:val="000000" w:themeColor="text1"/>
        </w:rPr>
        <w:t>опасна с точки зрения возобновления кровотечен</w:t>
      </w:r>
      <w:r w:rsidR="005A1FA2">
        <w:rPr>
          <w:i/>
          <w:color w:val="000000" w:themeColor="text1"/>
        </w:rPr>
        <w:t>ия, либо затруднена технически.</w:t>
      </w:r>
    </w:p>
    <w:p w14:paraId="7350F95F" w14:textId="77777777" w:rsidR="00837091" w:rsidRDefault="00837091" w:rsidP="00D85444">
      <w:pPr>
        <w:spacing w:line="360" w:lineRule="auto"/>
        <w:rPr>
          <w:i/>
          <w:color w:val="000000" w:themeColor="text1"/>
        </w:rPr>
      </w:pPr>
    </w:p>
    <w:p w14:paraId="6F243299" w14:textId="77777777" w:rsidR="00AE37FB" w:rsidRDefault="00F52CFD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45" w:name="_Toc26477698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2.5 Иные диагностические исследов</w:t>
      </w:r>
      <w:bookmarkEnd w:id="45"/>
      <w:r w:rsidR="000059F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ания</w:t>
      </w:r>
    </w:p>
    <w:p w14:paraId="5AB605A7" w14:textId="57AD4F6B" w:rsidR="00AE37FB" w:rsidRDefault="00F52CFD" w:rsidP="002F4478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         </w:t>
      </w:r>
      <w:r w:rsidR="005A1FA2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• Всем</w:t>
      </w:r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пациентам </w:t>
      </w:r>
      <w:r w:rsidR="005A1FA2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с СМВ</w:t>
      </w:r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с целью определения показаний к </w:t>
      </w:r>
      <w:proofErr w:type="spellStart"/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эрадикационной</w:t>
      </w:r>
      <w:proofErr w:type="spellEnd"/>
      <w:r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терапии рекомендуется проведение тестирования на наличие инфекции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рylori</w:t>
      </w:r>
      <w:proofErr w:type="spellEnd"/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 помощью </w:t>
      </w:r>
      <w:r w:rsidR="00CB7542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</w:t>
      </w:r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13</w:t>
      </w:r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С-</w:t>
      </w:r>
      <w:r w:rsidR="00601251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уреазного </w:t>
      </w:r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дыхательного теста</w:t>
      </w:r>
      <w:r w:rsidR="00601251"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 </w:t>
      </w:r>
      <w:r w:rsidR="00A4052B" w:rsidRPr="008156B7">
        <w:rPr>
          <w:rStyle w:val="a6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lang w:val="en-US" w:eastAsia="en-US"/>
        </w:rPr>
        <w:t>Helicobacter</w:t>
      </w:r>
      <w:r w:rsidR="00A4052B" w:rsidRPr="008156B7">
        <w:rPr>
          <w:rStyle w:val="a6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A4052B" w:rsidRPr="008156B7">
        <w:rPr>
          <w:rStyle w:val="a6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lang w:val="en-US" w:eastAsia="en-US"/>
        </w:rPr>
        <w:t>pylori</w:t>
      </w:r>
      <w:r w:rsidR="00A4052B" w:rsidRPr="008156B7">
        <w:rPr>
          <w:rStyle w:val="a6"/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 </w:t>
      </w:r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или</w:t>
      </w:r>
      <w:proofErr w:type="gramEnd"/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определения антигена </w:t>
      </w:r>
      <w:r>
        <w:rPr>
          <w:rStyle w:val="a6"/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  <w:t>H</w:t>
      </w:r>
      <w:r>
        <w:rPr>
          <w:rStyle w:val="a6"/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.</w:t>
      </w:r>
      <w:r>
        <w:rPr>
          <w:rStyle w:val="a6"/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  <w:t>pylori</w:t>
      </w:r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кале, а при одновременном проведении ЭГДС - с помощью быстрого </w:t>
      </w:r>
      <w:proofErr w:type="spellStart"/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уреазного</w:t>
      </w:r>
      <w:proofErr w:type="spellEnd"/>
      <w:r>
        <w:rPr>
          <w:rStyle w:val="a6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теста [</w:t>
      </w:r>
      <w:r w:rsidR="00081E85" w:rsidRPr="00081E8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1E85" w:rsidRPr="00081E85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1403AB11" w14:textId="5A9A654D" w:rsidR="00AE37FB" w:rsidRDefault="00F52CFD" w:rsidP="002F4478">
      <w:pPr>
        <w:spacing w:line="360" w:lineRule="auto"/>
        <w:jc w:val="both"/>
        <w:rPr>
          <w:b/>
        </w:rPr>
      </w:pPr>
      <w:r>
        <w:rPr>
          <w:b/>
        </w:rPr>
        <w:t xml:space="preserve">Уровень убедительности рекомендаций В (уровень достоверности доказательств – </w:t>
      </w:r>
      <w:r w:rsidR="00ED7B01">
        <w:rPr>
          <w:b/>
        </w:rPr>
        <w:t>1</w:t>
      </w:r>
      <w:r>
        <w:rPr>
          <w:b/>
        </w:rPr>
        <w:t>)</w:t>
      </w:r>
    </w:p>
    <w:p w14:paraId="6BC66505" w14:textId="355E4424" w:rsidR="00AE37FB" w:rsidRDefault="00F52CFD" w:rsidP="002F4478">
      <w:pPr>
        <w:spacing w:line="360" w:lineRule="auto"/>
        <w:jc w:val="both"/>
        <w:rPr>
          <w:i/>
        </w:rPr>
      </w:pPr>
      <w:r>
        <w:rPr>
          <w:b/>
        </w:rPr>
        <w:t>Комментарии</w:t>
      </w:r>
      <w:proofErr w:type="gramStart"/>
      <w:r>
        <w:rPr>
          <w:b/>
        </w:rPr>
        <w:t>:</w:t>
      </w:r>
      <w:r>
        <w:rPr>
          <w:b/>
          <w:i/>
        </w:rPr>
        <w:t xml:space="preserve"> </w:t>
      </w:r>
      <w:r>
        <w:rPr>
          <w:i/>
        </w:rPr>
        <w:t>В соответствии с</w:t>
      </w:r>
      <w:proofErr w:type="gramEnd"/>
      <w:r>
        <w:rPr>
          <w:i/>
        </w:rPr>
        <w:t xml:space="preserve"> рекомендациями</w:t>
      </w:r>
      <w:r>
        <w:rPr>
          <w:b/>
          <w:i/>
        </w:rPr>
        <w:t xml:space="preserve"> </w:t>
      </w:r>
      <w:r>
        <w:rPr>
          <w:i/>
        </w:rPr>
        <w:t>согласительного совещания «Маастрихт-V</w:t>
      </w:r>
      <w:r>
        <w:rPr>
          <w:i/>
          <w:lang w:val="en-US"/>
        </w:rPr>
        <w:t>I</w:t>
      </w:r>
      <w:r>
        <w:rPr>
          <w:i/>
        </w:rPr>
        <w:t>» (2022</w:t>
      </w:r>
      <w:r w:rsidRPr="001740F0">
        <w:rPr>
          <w:i/>
          <w:color w:val="000000" w:themeColor="text1"/>
        </w:rPr>
        <w:t>) [</w:t>
      </w:r>
      <w:r w:rsidR="004F30D9" w:rsidRPr="001740F0">
        <w:rPr>
          <w:i/>
          <w:color w:val="000000" w:themeColor="text1"/>
        </w:rPr>
        <w:t>29</w:t>
      </w:r>
      <w:r>
        <w:rPr>
          <w:i/>
        </w:rPr>
        <w:t xml:space="preserve">] наиболее оптимальными тестами первичной диагностики инфекции H. </w:t>
      </w:r>
      <w:proofErr w:type="spellStart"/>
      <w:r>
        <w:rPr>
          <w:i/>
        </w:rPr>
        <w:t>pylori</w:t>
      </w:r>
      <w:proofErr w:type="spellEnd"/>
      <w:r>
        <w:rPr>
          <w:i/>
        </w:rPr>
        <w:t xml:space="preserve"> служат </w:t>
      </w:r>
      <w:r>
        <w:rPr>
          <w:i/>
          <w:vertAlign w:val="superscript"/>
        </w:rPr>
        <w:t>13</w:t>
      </w:r>
      <w:r>
        <w:rPr>
          <w:i/>
        </w:rPr>
        <w:t xml:space="preserve">С-дыхательный </w:t>
      </w:r>
      <w:proofErr w:type="spellStart"/>
      <w:r>
        <w:rPr>
          <w:i/>
        </w:rPr>
        <w:t>уреазный</w:t>
      </w:r>
      <w:proofErr w:type="spellEnd"/>
      <w:r>
        <w:rPr>
          <w:i/>
        </w:rPr>
        <w:t xml:space="preserve"> тест и определение антигена H. </w:t>
      </w:r>
      <w:proofErr w:type="spellStart"/>
      <w:r>
        <w:rPr>
          <w:i/>
        </w:rPr>
        <w:t>pylori</w:t>
      </w:r>
      <w:proofErr w:type="spellEnd"/>
      <w:r>
        <w:rPr>
          <w:i/>
        </w:rPr>
        <w:t xml:space="preserve"> в кале. Так, согласно последнему </w:t>
      </w:r>
      <w:proofErr w:type="spellStart"/>
      <w:r>
        <w:rPr>
          <w:i/>
        </w:rPr>
        <w:t>Ко</w:t>
      </w:r>
      <w:r w:rsidR="00CB7542">
        <w:rPr>
          <w:i/>
        </w:rPr>
        <w:t>х</w:t>
      </w:r>
      <w:r>
        <w:rPr>
          <w:i/>
        </w:rPr>
        <w:t>рейновскому</w:t>
      </w:r>
      <w:proofErr w:type="spellEnd"/>
      <w:r>
        <w:rPr>
          <w:i/>
        </w:rPr>
        <w:t xml:space="preserve"> обзору и мета-анализу, чувствительность</w:t>
      </w:r>
      <w:r w:rsidR="00CB7542">
        <w:rPr>
          <w:i/>
        </w:rPr>
        <w:t xml:space="preserve">    </w:t>
      </w:r>
      <w:r>
        <w:rPr>
          <w:i/>
        </w:rPr>
        <w:t xml:space="preserve"> </w:t>
      </w:r>
      <w:r>
        <w:rPr>
          <w:i/>
          <w:vertAlign w:val="superscript"/>
        </w:rPr>
        <w:t>13</w:t>
      </w:r>
      <w:r>
        <w:rPr>
          <w:i/>
        </w:rPr>
        <w:t xml:space="preserve">С-дыхательного </w:t>
      </w:r>
      <w:proofErr w:type="spellStart"/>
      <w:r>
        <w:rPr>
          <w:i/>
        </w:rPr>
        <w:t>уреазного</w:t>
      </w:r>
      <w:proofErr w:type="spellEnd"/>
      <w:r>
        <w:rPr>
          <w:i/>
        </w:rPr>
        <w:t xml:space="preserve"> теста составляет 94% (95% ДИ: 0,89 - 0,97), а определения антигена H. </w:t>
      </w:r>
      <w:proofErr w:type="spellStart"/>
      <w:r>
        <w:rPr>
          <w:i/>
        </w:rPr>
        <w:t>pylori</w:t>
      </w:r>
      <w:proofErr w:type="spellEnd"/>
      <w:r>
        <w:rPr>
          <w:i/>
        </w:rPr>
        <w:t xml:space="preserve"> в кале – 83% (95% ДИ: 0,73 - 0,90) при фиксированной </w:t>
      </w:r>
      <w:r w:rsidR="00E31749">
        <w:rPr>
          <w:i/>
        </w:rPr>
        <w:t>специфичности 90</w:t>
      </w:r>
      <w:r w:rsidRPr="001740F0">
        <w:rPr>
          <w:i/>
          <w:color w:val="000000" w:themeColor="text1"/>
        </w:rPr>
        <w:t>% [</w:t>
      </w:r>
      <w:r w:rsidR="004F30D9" w:rsidRPr="001740F0">
        <w:rPr>
          <w:i/>
          <w:color w:val="000000" w:themeColor="text1"/>
        </w:rPr>
        <w:t>30</w:t>
      </w:r>
      <w:r w:rsidRPr="001740F0">
        <w:rPr>
          <w:i/>
          <w:color w:val="000000" w:themeColor="text1"/>
        </w:rPr>
        <w:t>].</w:t>
      </w:r>
      <w:r>
        <w:rPr>
          <w:i/>
        </w:rPr>
        <w:t xml:space="preserve"> </w:t>
      </w:r>
    </w:p>
    <w:p w14:paraId="351E5359" w14:textId="77777777" w:rsidR="00AE37FB" w:rsidRDefault="00F52CFD" w:rsidP="002F4478">
      <w:pPr>
        <w:spacing w:line="360" w:lineRule="auto"/>
        <w:jc w:val="both"/>
        <w:rPr>
          <w:i/>
        </w:rPr>
      </w:pPr>
      <w:r>
        <w:rPr>
          <w:i/>
        </w:rPr>
        <w:t xml:space="preserve">Если пациентам одновременно проводится ЭГДС, то методом первичной диагностики может быть быстрый </w:t>
      </w:r>
      <w:proofErr w:type="spellStart"/>
      <w:r>
        <w:rPr>
          <w:i/>
        </w:rPr>
        <w:t>уреазный</w:t>
      </w:r>
      <w:proofErr w:type="spellEnd"/>
      <w:r>
        <w:rPr>
          <w:i/>
        </w:rPr>
        <w:t xml:space="preserve"> тест. При использовании эндоскопических методов диагностики Н. </w:t>
      </w:r>
      <w:proofErr w:type="spellStart"/>
      <w:r>
        <w:rPr>
          <w:i/>
        </w:rPr>
        <w:t>pylori</w:t>
      </w:r>
      <w:proofErr w:type="spellEnd"/>
      <w:r>
        <w:rPr>
          <w:i/>
        </w:rPr>
        <w:t xml:space="preserve"> берут, как минимум, 2 биоптата из тела желудка и 1 биоптат из </w:t>
      </w:r>
      <w:proofErr w:type="spellStart"/>
      <w:r>
        <w:rPr>
          <w:i/>
        </w:rPr>
        <w:t>антрального</w:t>
      </w:r>
      <w:proofErr w:type="spellEnd"/>
      <w:r>
        <w:rPr>
          <w:i/>
        </w:rPr>
        <w:t xml:space="preserve"> отдела. Серологический метод выявления антител к Н. </w:t>
      </w:r>
      <w:proofErr w:type="spellStart"/>
      <w:r>
        <w:rPr>
          <w:i/>
        </w:rPr>
        <w:t>pylori</w:t>
      </w:r>
      <w:proofErr w:type="spellEnd"/>
      <w:r>
        <w:rPr>
          <w:i/>
        </w:rPr>
        <w:t xml:space="preserve"> может применяться для первичной диагностики инфекции H. </w:t>
      </w:r>
      <w:proofErr w:type="spellStart"/>
      <w:r>
        <w:rPr>
          <w:i/>
        </w:rPr>
        <w:t>pylori</w:t>
      </w:r>
      <w:proofErr w:type="spellEnd"/>
      <w:r>
        <w:rPr>
          <w:i/>
        </w:rPr>
        <w:t xml:space="preserve">, однако, только в том случае, если определяемые антитела относятся к классу </w:t>
      </w:r>
      <w:proofErr w:type="spellStart"/>
      <w:r>
        <w:rPr>
          <w:i/>
        </w:rPr>
        <w:t>IgG</w:t>
      </w:r>
      <w:proofErr w:type="spellEnd"/>
      <w:r>
        <w:rPr>
          <w:i/>
        </w:rPr>
        <w:t xml:space="preserve">. Микробиологический (бактериологический) метод применяется в настоящее время для определения индивидуальной чувствительности H. </w:t>
      </w:r>
      <w:proofErr w:type="spellStart"/>
      <w:r>
        <w:rPr>
          <w:i/>
        </w:rPr>
        <w:t>pylori</w:t>
      </w:r>
      <w:proofErr w:type="spellEnd"/>
      <w:r>
        <w:rPr>
          <w:i/>
        </w:rPr>
        <w:t xml:space="preserve"> к антибиотикам в случаях неэффективности лечения.</w:t>
      </w:r>
    </w:p>
    <w:p w14:paraId="04619B0E" w14:textId="7AC32B56" w:rsidR="00F92550" w:rsidRPr="005F5DBB" w:rsidRDefault="00F92550" w:rsidP="002F4478">
      <w:pPr>
        <w:pStyle w:val="a"/>
        <w:rPr>
          <w:b/>
          <w:bCs/>
          <w:color w:val="000000" w:themeColor="text1"/>
        </w:rPr>
      </w:pPr>
      <w:r w:rsidRPr="005F5DBB">
        <w:rPr>
          <w:color w:val="000000" w:themeColor="text1"/>
        </w:rPr>
        <w:t xml:space="preserve">Всем пациентам с </w:t>
      </w:r>
      <w:r w:rsidR="005A1FA2">
        <w:rPr>
          <w:color w:val="000000" w:themeColor="text1"/>
        </w:rPr>
        <w:t>СМВ</w:t>
      </w:r>
      <w:r w:rsidRPr="005F5DBB">
        <w:rPr>
          <w:color w:val="000000" w:themeColor="text1"/>
        </w:rPr>
        <w:t xml:space="preserve"> рекомендуется рассмотреть возможность контроля эрадикации инфекции </w:t>
      </w:r>
      <w:r w:rsidRPr="005F5DBB">
        <w:rPr>
          <w:i/>
          <w:color w:val="000000" w:themeColor="text1"/>
        </w:rPr>
        <w:t xml:space="preserve">Н. </w:t>
      </w:r>
      <w:proofErr w:type="spellStart"/>
      <w:r w:rsidRPr="005F5DBB">
        <w:rPr>
          <w:i/>
          <w:color w:val="000000" w:themeColor="text1"/>
        </w:rPr>
        <w:t>рylori</w:t>
      </w:r>
      <w:proofErr w:type="spellEnd"/>
      <w:r w:rsidRPr="005F5DBB">
        <w:rPr>
          <w:i/>
          <w:color w:val="000000" w:themeColor="text1"/>
        </w:rPr>
        <w:t xml:space="preserve"> </w:t>
      </w:r>
      <w:r w:rsidRPr="005F5DBB">
        <w:rPr>
          <w:iCs/>
          <w:color w:val="000000" w:themeColor="text1"/>
        </w:rPr>
        <w:t>для определения дальнейшей лечебной программы</w:t>
      </w:r>
      <w:r w:rsidRPr="005F5DBB">
        <w:rPr>
          <w:b/>
          <w:i/>
          <w:color w:val="000000" w:themeColor="text1"/>
        </w:rPr>
        <w:t xml:space="preserve"> </w:t>
      </w:r>
      <w:r w:rsidRPr="005F5DBB">
        <w:rPr>
          <w:color w:val="000000" w:themeColor="text1"/>
        </w:rPr>
        <w:t>[</w:t>
      </w:r>
      <w:r w:rsidR="00241656" w:rsidRPr="005F5DBB">
        <w:rPr>
          <w:color w:val="000000" w:themeColor="text1"/>
        </w:rPr>
        <w:t>31</w:t>
      </w:r>
      <w:r w:rsidRPr="005F5DBB">
        <w:rPr>
          <w:color w:val="000000" w:themeColor="text1"/>
        </w:rPr>
        <w:t>,</w:t>
      </w:r>
      <w:r w:rsidR="005F5DBB" w:rsidRPr="005F5DBB">
        <w:rPr>
          <w:color w:val="000000" w:themeColor="text1"/>
        </w:rPr>
        <w:t xml:space="preserve"> </w:t>
      </w:r>
      <w:r w:rsidR="00241656" w:rsidRPr="005F5DBB">
        <w:rPr>
          <w:color w:val="000000" w:themeColor="text1"/>
        </w:rPr>
        <w:t>32</w:t>
      </w:r>
      <w:r w:rsidRPr="005F5DBB">
        <w:rPr>
          <w:color w:val="000000" w:themeColor="text1"/>
        </w:rPr>
        <w:t>].</w:t>
      </w:r>
      <w:bookmarkStart w:id="46" w:name="_Toc146491603"/>
    </w:p>
    <w:p w14:paraId="55909E47" w14:textId="483923D0" w:rsidR="002F4478" w:rsidRDefault="002F4478" w:rsidP="002F4478">
      <w:pPr>
        <w:spacing w:line="360" w:lineRule="auto"/>
        <w:jc w:val="both"/>
        <w:rPr>
          <w:b/>
        </w:rPr>
      </w:pPr>
      <w:r>
        <w:rPr>
          <w:b/>
        </w:rPr>
        <w:t>Уровень убедительности рекомендаций А (уровень достоверности доказательств – 1)</w:t>
      </w:r>
    </w:p>
    <w:bookmarkEnd w:id="46"/>
    <w:p w14:paraId="48A5406C" w14:textId="77777777" w:rsidR="00F92550" w:rsidRPr="000C5A8F" w:rsidRDefault="00F92550" w:rsidP="00F92550">
      <w:pPr>
        <w:pStyle w:val="aff2"/>
        <w:rPr>
          <w:color w:val="FF0000"/>
        </w:rPr>
      </w:pPr>
      <w:r w:rsidRPr="00FC5376">
        <w:rPr>
          <w:b/>
          <w:i w:val="0"/>
          <w:iCs w:val="0"/>
        </w:rPr>
        <w:t>Комментарии:</w:t>
      </w:r>
      <w:r w:rsidRPr="006F7A3D">
        <w:t xml:space="preserve"> Для контроля эрадикации через 4–6 недель после окончания </w:t>
      </w:r>
      <w:proofErr w:type="spellStart"/>
      <w:r w:rsidRPr="006F7A3D">
        <w:t>эрадикационной</w:t>
      </w:r>
      <w:proofErr w:type="spellEnd"/>
      <w:r w:rsidRPr="006F7A3D">
        <w:t xml:space="preserve"> терапии целесообразно применять </w:t>
      </w:r>
      <w:r w:rsidR="00A4052B" w:rsidRPr="008156B7">
        <w:rPr>
          <w:vertAlign w:val="superscript"/>
        </w:rPr>
        <w:t>13</w:t>
      </w:r>
      <w:r w:rsidRPr="00946ED9">
        <w:t xml:space="preserve">С-уреазный дыхательный тест на </w:t>
      </w:r>
      <w:proofErr w:type="gramStart"/>
      <w:r w:rsidRPr="006F7A3D">
        <w:t>H</w:t>
      </w:r>
      <w:r w:rsidR="00A4052B" w:rsidRPr="008156B7">
        <w:t>.</w:t>
      </w:r>
      <w:r>
        <w:rPr>
          <w:lang w:val="en-US"/>
        </w:rPr>
        <w:t>p</w:t>
      </w:r>
      <w:proofErr w:type="spellStart"/>
      <w:r w:rsidRPr="006F7A3D">
        <w:t>ylori</w:t>
      </w:r>
      <w:proofErr w:type="spellEnd"/>
      <w:proofErr w:type="gramEnd"/>
      <w:r w:rsidRPr="006F7A3D">
        <w:t xml:space="preserve"> (A07.16.006) и/ или определение антигена H</w:t>
      </w:r>
      <w:r w:rsidR="00A4052B" w:rsidRPr="008156B7">
        <w:t>.</w:t>
      </w:r>
      <w:r>
        <w:rPr>
          <w:lang w:val="en-US"/>
        </w:rPr>
        <w:t>pylori</w:t>
      </w:r>
      <w:r w:rsidRPr="006F7A3D">
        <w:t xml:space="preserve"> в фекалиях (A26.19.020). Прием ИПН необходимо </w:t>
      </w:r>
      <w:r w:rsidRPr="006F7A3D">
        <w:lastRenderedPageBreak/>
        <w:t>прекратить за 2 недели до предполагаемого контрольного исследования. Отрицательный результат должен быть подтвержден двумя методами диагностик</w:t>
      </w:r>
      <w:r w:rsidRPr="005F5DBB">
        <w:rPr>
          <w:color w:val="000000" w:themeColor="text1"/>
        </w:rPr>
        <w:t>и [</w:t>
      </w:r>
      <w:r w:rsidR="000C5A8F" w:rsidRPr="005F5DBB">
        <w:rPr>
          <w:color w:val="000000" w:themeColor="text1"/>
        </w:rPr>
        <w:t>31</w:t>
      </w:r>
      <w:r w:rsidRPr="005F5DBB">
        <w:rPr>
          <w:color w:val="000000" w:themeColor="text1"/>
        </w:rPr>
        <w:t>,</w:t>
      </w:r>
      <w:r w:rsidR="000C5A8F" w:rsidRPr="005F5DBB">
        <w:rPr>
          <w:color w:val="000000" w:themeColor="text1"/>
        </w:rPr>
        <w:t>32</w:t>
      </w:r>
      <w:r w:rsidRPr="005F5DBB">
        <w:rPr>
          <w:color w:val="000000" w:themeColor="text1"/>
        </w:rPr>
        <w:t>].</w:t>
      </w:r>
    </w:p>
    <w:p w14:paraId="33AB4994" w14:textId="778CEC60" w:rsidR="00B610A2" w:rsidRDefault="000D0F34" w:rsidP="008156B7">
      <w:pPr>
        <w:spacing w:line="360" w:lineRule="auto"/>
        <w:rPr>
          <w:i/>
        </w:rPr>
      </w:pPr>
      <w:r>
        <w:rPr>
          <w:i/>
        </w:rPr>
        <w:t xml:space="preserve">      </w:t>
      </w:r>
    </w:p>
    <w:p w14:paraId="4D3290E0" w14:textId="77777777" w:rsidR="00AE37FB" w:rsidRPr="005F5DBB" w:rsidRDefault="00F52CFD">
      <w:pPr>
        <w:pStyle w:val="afb"/>
        <w:spacing w:line="360" w:lineRule="auto"/>
        <w:rPr>
          <w:u w:val="single"/>
        </w:rPr>
      </w:pPr>
      <w:bookmarkStart w:id="47" w:name="_lnxbz9" w:colFirst="0" w:colLast="0"/>
      <w:bookmarkStart w:id="48" w:name="_35nkun2" w:colFirst="0" w:colLast="0"/>
      <w:bookmarkStart w:id="49" w:name="_Toc16510478"/>
      <w:bookmarkStart w:id="50" w:name="_Toc11747742"/>
      <w:bookmarkStart w:id="51" w:name="_Toc26477699"/>
      <w:bookmarkEnd w:id="47"/>
      <w:bookmarkEnd w:id="48"/>
      <w:r w:rsidRPr="005F5DBB">
        <w:rPr>
          <w:u w:val="single"/>
        </w:rPr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49"/>
      <w:bookmarkEnd w:id="50"/>
      <w:bookmarkEnd w:id="51"/>
    </w:p>
    <w:p w14:paraId="27ECC09C" w14:textId="3E39CEA8" w:rsidR="00AE37FB" w:rsidRDefault="00F52CFD" w:rsidP="002F4478">
      <w:pPr>
        <w:spacing w:line="360" w:lineRule="auto"/>
        <w:jc w:val="both"/>
        <w:rPr>
          <w:i/>
        </w:rPr>
      </w:pPr>
      <w:r>
        <w:rPr>
          <w:i/>
        </w:rPr>
        <w:t xml:space="preserve">Лечение </w:t>
      </w:r>
      <w:r w:rsidR="005A1FA2">
        <w:rPr>
          <w:i/>
        </w:rPr>
        <w:t>СМВ</w:t>
      </w:r>
      <w:r>
        <w:rPr>
          <w:i/>
        </w:rPr>
        <w:t xml:space="preserve"> должно быть комплексным и включать в себя не только назначение лекарственных препаратов, но и проведение широкого круга различных мероприятий: диетическое питание, прекращение курения и злоупотребления алкоголем, отказ от приема препаратов, обладающих </w:t>
      </w:r>
      <w:proofErr w:type="spellStart"/>
      <w:r>
        <w:rPr>
          <w:i/>
        </w:rPr>
        <w:t>ульцерогенным</w:t>
      </w:r>
      <w:proofErr w:type="spellEnd"/>
      <w:r>
        <w:rPr>
          <w:i/>
        </w:rPr>
        <w:t xml:space="preserve"> действием, нормализацию режима труда и отдыха, санаторно-курортное лечение.</w:t>
      </w:r>
    </w:p>
    <w:p w14:paraId="39C1EE30" w14:textId="77777777" w:rsidR="00AE37FB" w:rsidRDefault="00F52CFD" w:rsidP="002F4478">
      <w:pPr>
        <w:pStyle w:val="2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52" w:name="_1ksv4uv" w:colFirst="0" w:colLast="0"/>
      <w:bookmarkStart w:id="53" w:name="_Toc26477700"/>
      <w:bookmarkEnd w:id="52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Диетотерапия</w:t>
      </w:r>
      <w:bookmarkEnd w:id="53"/>
    </w:p>
    <w:p w14:paraId="40267C30" w14:textId="531FB01D" w:rsidR="00AE37FB" w:rsidRPr="002F4478" w:rsidRDefault="00F52CFD" w:rsidP="002F4478">
      <w:pPr>
        <w:spacing w:line="360" w:lineRule="auto"/>
        <w:jc w:val="both"/>
        <w:rPr>
          <w:rFonts w:eastAsia="Gungsuh"/>
        </w:rPr>
      </w:pPr>
      <w:r>
        <w:t xml:space="preserve">•   </w:t>
      </w:r>
      <w:r>
        <w:rPr>
          <w:rFonts w:eastAsia="Gungsuh"/>
        </w:rPr>
        <w:t xml:space="preserve">Всем пациентам с </w:t>
      </w:r>
      <w:r w:rsidR="005A1FA2">
        <w:rPr>
          <w:rFonts w:eastAsia="Gungsuh"/>
        </w:rPr>
        <w:t>СМВ</w:t>
      </w:r>
      <w:r>
        <w:rPr>
          <w:rFonts w:eastAsia="Gungsuh"/>
        </w:rPr>
        <w:t xml:space="preserve"> с целью ускорения заживления </w:t>
      </w:r>
      <w:r w:rsidR="005A1FA2">
        <w:rPr>
          <w:rFonts w:eastAsia="Gungsuh"/>
        </w:rPr>
        <w:t>разрывов</w:t>
      </w:r>
      <w:r>
        <w:rPr>
          <w:rFonts w:eastAsia="Gungsuh"/>
        </w:rPr>
        <w:t xml:space="preserve"> рекомендуется диетотерапия [</w:t>
      </w:r>
      <w:r w:rsidR="004C7403">
        <w:rPr>
          <w:rFonts w:eastAsia="Gungsuh"/>
        </w:rPr>
        <w:t>34</w:t>
      </w:r>
      <w:r>
        <w:rPr>
          <w:rFonts w:eastAsia="Gungsuh"/>
        </w:rPr>
        <w:t>].</w:t>
      </w:r>
      <w:r w:rsidR="00D245AC">
        <w:rPr>
          <w:b/>
        </w:rPr>
        <w:tab/>
      </w:r>
      <w:r>
        <w:rPr>
          <w:b/>
        </w:rPr>
        <w:t xml:space="preserve">Уровень убедительности рекомендаций С (уровень достоверности доказательств – 5) </w:t>
      </w:r>
    </w:p>
    <w:p w14:paraId="1F770BE4" w14:textId="77777777" w:rsidR="00AE37FB" w:rsidRDefault="00AE37FB" w:rsidP="002F4478">
      <w:pPr>
        <w:jc w:val="both"/>
      </w:pPr>
    </w:p>
    <w:p w14:paraId="350FE420" w14:textId="601FCA5B" w:rsidR="00AE37FB" w:rsidRDefault="00F52CFD" w:rsidP="002F4478">
      <w:pPr>
        <w:spacing w:line="360" w:lineRule="auto"/>
        <w:jc w:val="both"/>
        <w:rPr>
          <w:i/>
        </w:rPr>
      </w:pPr>
      <w:r>
        <w:rPr>
          <w:b/>
        </w:rPr>
        <w:t xml:space="preserve">Комментарии: </w:t>
      </w:r>
      <w:r>
        <w:rPr>
          <w:i/>
        </w:rPr>
        <w:t xml:space="preserve">Основные принципы диетического питания пациентов с </w:t>
      </w:r>
      <w:r w:rsidR="005A1FA2">
        <w:rPr>
          <w:i/>
        </w:rPr>
        <w:t>СМВ</w:t>
      </w:r>
      <w:r>
        <w:rPr>
          <w:i/>
        </w:rPr>
        <w:t xml:space="preserve">, выработанные много лет назад, сохраняют свою актуальность и в настоящее время. Остаются в силе рекомендации частого (5-6 раз в сутки), дробного питания, соответствующие правилу: “шесть маленьких приемов пищи лучше, чем три больших”, механического, термического и химического </w:t>
      </w:r>
      <w:proofErr w:type="spellStart"/>
      <w:r>
        <w:rPr>
          <w:i/>
        </w:rPr>
        <w:t>щажения</w:t>
      </w:r>
      <w:proofErr w:type="spellEnd"/>
      <w:r>
        <w:rPr>
          <w:i/>
        </w:rPr>
        <w:t>. Из пищевого рациона необходимо исключить продукты, раздражающие слизистую оболочку желудка и возбуждающие секрецию соляной кислоты: крепкие мясные и рыбные бульоны, жареную и наперченную пищу, копчености и консервы, приправы и специи (лук, чеснок, перец, горчицу), соления и маринады, газированные фруктовые воды, пиво, белое сухое вино, шампанское, кофе, цитрусовые.</w:t>
      </w:r>
    </w:p>
    <w:p w14:paraId="3DAF5F3D" w14:textId="77777777" w:rsidR="00AE37FB" w:rsidRDefault="00F52CFD">
      <w:pPr>
        <w:spacing w:line="360" w:lineRule="auto"/>
        <w:rPr>
          <w:i/>
        </w:rPr>
      </w:pPr>
      <w:r>
        <w:rPr>
          <w:i/>
        </w:rPr>
        <w:t>Следует отдавать предпочтение продуктам, обладающим выраженными буферными свойствами (т.е.</w:t>
      </w:r>
      <w:r w:rsidR="00D245AC">
        <w:rPr>
          <w:i/>
        </w:rPr>
        <w:t>,</w:t>
      </w:r>
      <w:r>
        <w:rPr>
          <w:i/>
        </w:rPr>
        <w:t xml:space="preserve"> способностью связывать и нейтрализовывать соляную кислоту). К ним относятся мясо и рыба (отварные или приготовленные на пару), яйца, молоко и молочные продукты. Разрешаются также макаронные изделия, черствый белый хлеб, сухой бисквит и сухое печенье, молочные и вегетарианские супы. Овощи (картофель, морковь, кабачки, цветная капуста) можно готовить тушеными или в виде пюре и паровых суфле. В пищевой рацион можно включать каши, кисели из сладких сортов ягод, муссы, желе, сырые тертые и печеные яблоки, какао с молоком, некрепкий чай. </w:t>
      </w:r>
    </w:p>
    <w:p w14:paraId="0BE5892B" w14:textId="77777777" w:rsidR="00AE37FB" w:rsidRDefault="00F52CFD" w:rsidP="002F4478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Нужно помнить и о таких простых, но в то же время важных рекомендациях, как необходимость принимать пищу в спокойной обстановке, не спеша, сидя, тщательно прожевывать пищу. Это способствует лучшему пропитыванию пищи слюной, буферные возможности которой являются достаточно выраженными. </w:t>
      </w:r>
    </w:p>
    <w:p w14:paraId="4288E065" w14:textId="392C5426" w:rsidR="00723C81" w:rsidRPr="005A1FA2" w:rsidRDefault="00F52CFD" w:rsidP="002F4478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54" w:name="_Toc26477701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3.2 Консервативное лечение</w:t>
      </w:r>
      <w:bookmarkEnd w:id="54"/>
    </w:p>
    <w:p w14:paraId="5C6555C9" w14:textId="04EFBE6E" w:rsidR="009A1A0E" w:rsidRPr="006F7A3D" w:rsidRDefault="005A3863" w:rsidP="002F4478">
      <w:pPr>
        <w:pStyle w:val="4"/>
        <w:spacing w:line="360" w:lineRule="auto"/>
        <w:jc w:val="both"/>
      </w:pPr>
      <w:r>
        <w:rPr>
          <w:i/>
        </w:rPr>
        <w:tab/>
      </w:r>
      <w:bookmarkStart w:id="55" w:name="_Toc146491605"/>
      <w:r w:rsidR="009A1A0E" w:rsidRPr="006F7A3D">
        <w:t xml:space="preserve">Ведение </w:t>
      </w:r>
      <w:r w:rsidR="0078748D" w:rsidRPr="006F7A3D">
        <w:t>больны</w:t>
      </w:r>
      <w:r w:rsidR="0078748D">
        <w:t>м</w:t>
      </w:r>
      <w:r w:rsidR="0078748D" w:rsidRPr="006F7A3D">
        <w:t xml:space="preserve"> </w:t>
      </w:r>
      <w:r w:rsidR="0078748D">
        <w:t>с</w:t>
      </w:r>
      <w:r w:rsidR="00B95B63">
        <w:t xml:space="preserve"> </w:t>
      </w:r>
      <w:r w:rsidR="005A1FA2">
        <w:t>СМВ</w:t>
      </w:r>
      <w:r w:rsidR="0078748D">
        <w:t xml:space="preserve"> (как и во всех случаях кровотечений их ВОПТ)</w:t>
      </w:r>
      <w:r w:rsidR="00B95B63">
        <w:t xml:space="preserve"> </w:t>
      </w:r>
      <w:r w:rsidR="009A1A0E" w:rsidRPr="006F7A3D">
        <w:t>на догоспитальном этапе и на этапе поступления в стационар</w:t>
      </w:r>
      <w:bookmarkEnd w:id="55"/>
      <w:r w:rsidR="009A1A0E" w:rsidRPr="006F7A3D">
        <w:t xml:space="preserve"> </w:t>
      </w:r>
    </w:p>
    <w:p w14:paraId="3698F2D0" w14:textId="77777777" w:rsidR="009A1A0E" w:rsidRPr="002B2004" w:rsidRDefault="009A1A0E" w:rsidP="002F4478">
      <w:pPr>
        <w:pStyle w:val="a"/>
        <w:rPr>
          <w:color w:val="000000" w:themeColor="text1"/>
        </w:rPr>
      </w:pPr>
      <w:r w:rsidRPr="006F7A3D">
        <w:t xml:space="preserve">Всем пациентам с признаками кровотечения из верхних отделов ЖКТ рекомендуется незамедлительно начать интенсивную терапию на догоспитальном этапе и/или при поступлении в </w:t>
      </w:r>
      <w:r w:rsidRPr="002B2004">
        <w:rPr>
          <w:color w:val="000000" w:themeColor="text1"/>
        </w:rPr>
        <w:t>стационар [</w:t>
      </w:r>
      <w:r w:rsidR="008109AE" w:rsidRPr="002B2004">
        <w:rPr>
          <w:color w:val="000000" w:themeColor="text1"/>
        </w:rPr>
        <w:t>6, 20, 22, 27</w:t>
      </w:r>
      <w:r w:rsidRPr="002B2004">
        <w:rPr>
          <w:color w:val="000000" w:themeColor="text1"/>
        </w:rPr>
        <w:t xml:space="preserve">]. </w:t>
      </w:r>
    </w:p>
    <w:p w14:paraId="40FE005C" w14:textId="0AF9E1BD" w:rsidR="002F4478" w:rsidRDefault="002F4478" w:rsidP="002F4478">
      <w:pPr>
        <w:spacing w:line="360" w:lineRule="auto"/>
        <w:jc w:val="both"/>
        <w:rPr>
          <w:b/>
        </w:rPr>
      </w:pPr>
      <w:bookmarkStart w:id="56" w:name="_Toc146491606"/>
      <w:r>
        <w:rPr>
          <w:b/>
        </w:rPr>
        <w:t>Уровень убедительности рекомендаций С (уровень достоверности доказательств – 5)</w:t>
      </w:r>
    </w:p>
    <w:bookmarkEnd w:id="56"/>
    <w:p w14:paraId="24A7D388" w14:textId="0840067C" w:rsidR="009A1A0E" w:rsidRDefault="009A1A0E" w:rsidP="002F4478">
      <w:pPr>
        <w:pStyle w:val="aff"/>
        <w:ind w:left="0"/>
      </w:pPr>
      <w:r w:rsidRPr="006F7A3D">
        <w:t xml:space="preserve"> </w:t>
      </w:r>
    </w:p>
    <w:p w14:paraId="556AC433" w14:textId="0825E887" w:rsidR="009A1A0E" w:rsidRPr="002B2004" w:rsidRDefault="009A1A0E" w:rsidP="002F4478">
      <w:pPr>
        <w:pStyle w:val="a"/>
        <w:rPr>
          <w:color w:val="000000" w:themeColor="text1"/>
        </w:rPr>
      </w:pPr>
      <w:r w:rsidRPr="006F7A3D">
        <w:t xml:space="preserve">Всем пациентам с клиникой </w:t>
      </w:r>
      <w:r w:rsidR="0078748D">
        <w:t>кровотечения при СМВ</w:t>
      </w:r>
      <w:r w:rsidRPr="006F7A3D">
        <w:t xml:space="preserve"> рекомендуется парентеральное введение ингибиторов протонного насоса (A02BC) при поступлении в </w:t>
      </w:r>
      <w:proofErr w:type="gramStart"/>
      <w:r w:rsidRPr="002B2004">
        <w:rPr>
          <w:color w:val="000000" w:themeColor="text1"/>
        </w:rPr>
        <w:t>стационар</w:t>
      </w:r>
      <w:r w:rsidR="002F4478">
        <w:rPr>
          <w:color w:val="000000" w:themeColor="text1"/>
        </w:rPr>
        <w:t xml:space="preserve"> </w:t>
      </w:r>
      <w:r w:rsidRPr="002B2004">
        <w:rPr>
          <w:color w:val="000000" w:themeColor="text1"/>
        </w:rPr>
        <w:t xml:space="preserve"> [</w:t>
      </w:r>
      <w:proofErr w:type="gramEnd"/>
      <w:r w:rsidR="008109AE" w:rsidRPr="002B2004">
        <w:rPr>
          <w:color w:val="000000" w:themeColor="text1"/>
        </w:rPr>
        <w:t>13, 19,</w:t>
      </w:r>
      <w:r w:rsidR="00AE6594" w:rsidRPr="002B2004">
        <w:rPr>
          <w:color w:val="000000" w:themeColor="text1"/>
        </w:rPr>
        <w:t xml:space="preserve"> </w:t>
      </w:r>
      <w:r w:rsidR="008109AE" w:rsidRPr="002B2004">
        <w:rPr>
          <w:color w:val="000000" w:themeColor="text1"/>
        </w:rPr>
        <w:t>23</w:t>
      </w:r>
      <w:r w:rsidRPr="002B2004">
        <w:rPr>
          <w:color w:val="000000" w:themeColor="text1"/>
        </w:rPr>
        <w:t>,</w:t>
      </w:r>
      <w:r w:rsidR="00B22AB1" w:rsidRPr="002B2004">
        <w:rPr>
          <w:color w:val="000000" w:themeColor="text1"/>
        </w:rPr>
        <w:t xml:space="preserve"> 81</w:t>
      </w:r>
      <w:r w:rsidR="0066009A" w:rsidRPr="002B2004">
        <w:rPr>
          <w:color w:val="000000" w:themeColor="text1"/>
        </w:rPr>
        <w:t>, 102</w:t>
      </w:r>
      <w:r w:rsidRPr="002B2004">
        <w:rPr>
          <w:color w:val="000000" w:themeColor="text1"/>
        </w:rPr>
        <w:t xml:space="preserve">]. </w:t>
      </w:r>
    </w:p>
    <w:p w14:paraId="332196DB" w14:textId="77777777" w:rsidR="002F4478" w:rsidRDefault="002F4478" w:rsidP="002F4478">
      <w:pPr>
        <w:spacing w:line="360" w:lineRule="auto"/>
        <w:jc w:val="both"/>
        <w:rPr>
          <w:b/>
        </w:rPr>
      </w:pPr>
      <w:bookmarkStart w:id="57" w:name="_Toc146491607"/>
      <w:r>
        <w:rPr>
          <w:b/>
        </w:rPr>
        <w:t>Уровень убедительности рекомендаций В (уровень достоверности доказательств – 1)</w:t>
      </w:r>
    </w:p>
    <w:bookmarkEnd w:id="57"/>
    <w:p w14:paraId="1B7DD52F" w14:textId="77777777" w:rsidR="00FA028D" w:rsidRPr="006F7A3D" w:rsidRDefault="009A1A0E" w:rsidP="009A1A0E">
      <w:pPr>
        <w:pStyle w:val="aff2"/>
      </w:pPr>
      <w:r w:rsidRPr="00FC5376">
        <w:rPr>
          <w:b/>
          <w:i w:val="0"/>
          <w:iCs w:val="0"/>
        </w:rPr>
        <w:t>Комментарии:</w:t>
      </w:r>
      <w:r w:rsidRPr="006F7A3D">
        <w:rPr>
          <w:b/>
        </w:rPr>
        <w:t xml:space="preserve"> </w:t>
      </w:r>
      <w:r w:rsidRPr="006F7A3D">
        <w:t xml:space="preserve">Назначение ИПН на догоспитальном этапе и до выполнения первичной ЭГДС уменьшает потребность в проведении эндоскопического гемостаза, но не должно приводить к задержке эндоскопии. </w:t>
      </w:r>
    </w:p>
    <w:p w14:paraId="45683D85" w14:textId="77777777" w:rsidR="009A1A0E" w:rsidRPr="006F7A3D" w:rsidRDefault="009A1A0E" w:rsidP="009A1A0E">
      <w:pPr>
        <w:pStyle w:val="a"/>
      </w:pPr>
      <w:r w:rsidRPr="006F7A3D">
        <w:t xml:space="preserve">Рекомендуется стратификация больных на этапе поступления в стационар по степени тяжести и вероятности летального исхода для решения вопроса о госпитализации / переводе пациентов с тяжёлым кровотечением в </w:t>
      </w:r>
      <w:r w:rsidRPr="00497E99">
        <w:rPr>
          <w:color w:val="000000" w:themeColor="text1"/>
        </w:rPr>
        <w:t>ОРИТ [</w:t>
      </w:r>
      <w:r w:rsidR="00EE5AA6" w:rsidRPr="00497E99">
        <w:rPr>
          <w:color w:val="000000" w:themeColor="text1"/>
        </w:rPr>
        <w:t>19</w:t>
      </w:r>
      <w:r w:rsidRPr="00497E99">
        <w:rPr>
          <w:color w:val="000000" w:themeColor="text1"/>
        </w:rPr>
        <w:t>].</w:t>
      </w:r>
    </w:p>
    <w:p w14:paraId="480C0304" w14:textId="3AB1DC19" w:rsidR="002F4478" w:rsidRDefault="002F4478" w:rsidP="002F4478">
      <w:pPr>
        <w:spacing w:line="360" w:lineRule="auto"/>
        <w:jc w:val="both"/>
        <w:rPr>
          <w:b/>
        </w:rPr>
      </w:pPr>
      <w:bookmarkStart w:id="58" w:name="_Hlk200458649"/>
      <w:r>
        <w:rPr>
          <w:b/>
        </w:rPr>
        <w:t>Уровень убедительности рекомендаций С (уровень достоверности доказательств – 5)</w:t>
      </w:r>
    </w:p>
    <w:bookmarkEnd w:id="58"/>
    <w:p w14:paraId="4B0D022A" w14:textId="6EF32DC0" w:rsidR="009A1A0E" w:rsidRPr="00946ED9" w:rsidRDefault="009A1A0E" w:rsidP="009A1A0E"/>
    <w:p w14:paraId="4D18DFD8" w14:textId="540554BB" w:rsidR="009A1A0E" w:rsidRPr="00497E99" w:rsidRDefault="009A1A0E" w:rsidP="00497E99">
      <w:pPr>
        <w:pStyle w:val="aff2"/>
        <w:rPr>
          <w:color w:val="000000" w:themeColor="text1"/>
        </w:rPr>
      </w:pPr>
      <w:r w:rsidRPr="00FC5376">
        <w:rPr>
          <w:b/>
          <w:i w:val="0"/>
          <w:iCs w:val="0"/>
        </w:rPr>
        <w:t>Комментарии:</w:t>
      </w:r>
      <w:r w:rsidRPr="006F7A3D">
        <w:t xml:space="preserve"> с целью стратификации больных с </w:t>
      </w:r>
      <w:r w:rsidR="0078748D">
        <w:t>СМВ</w:t>
      </w:r>
      <w:r w:rsidRPr="006F7A3D">
        <w:t xml:space="preserve"> по степени тяжести кровопотери </w:t>
      </w:r>
      <w:r w:rsidRPr="00497E99">
        <w:rPr>
          <w:color w:val="000000" w:themeColor="text1"/>
        </w:rPr>
        <w:t>и вероятности летального исхода</w:t>
      </w:r>
      <w:r w:rsidRPr="00497E99">
        <w:rPr>
          <w:b/>
          <w:color w:val="000000" w:themeColor="text1"/>
        </w:rPr>
        <w:t xml:space="preserve"> </w:t>
      </w:r>
      <w:r w:rsidRPr="00497E99">
        <w:rPr>
          <w:color w:val="000000" w:themeColor="text1"/>
        </w:rPr>
        <w:t xml:space="preserve">могут быть использованы шкалы </w:t>
      </w:r>
      <w:proofErr w:type="spellStart"/>
      <w:r w:rsidRPr="00497E99">
        <w:rPr>
          <w:color w:val="000000" w:themeColor="text1"/>
        </w:rPr>
        <w:t>Glasgow-Blatchford</w:t>
      </w:r>
      <w:proofErr w:type="spellEnd"/>
      <w:r w:rsidRPr="00497E99">
        <w:rPr>
          <w:color w:val="000000" w:themeColor="text1"/>
        </w:rPr>
        <w:t xml:space="preserve"> [</w:t>
      </w:r>
      <w:r w:rsidR="00B22AB1" w:rsidRPr="00497E99">
        <w:rPr>
          <w:color w:val="000000" w:themeColor="text1"/>
        </w:rPr>
        <w:t>16</w:t>
      </w:r>
      <w:r w:rsidRPr="00497E99">
        <w:rPr>
          <w:color w:val="000000" w:themeColor="text1"/>
        </w:rPr>
        <w:t>,</w:t>
      </w:r>
      <w:r w:rsidR="00B22AB1" w:rsidRPr="00497E99">
        <w:rPr>
          <w:color w:val="000000" w:themeColor="text1"/>
        </w:rPr>
        <w:t>20</w:t>
      </w:r>
      <w:r w:rsidRPr="00497E99">
        <w:rPr>
          <w:color w:val="000000" w:themeColor="text1"/>
        </w:rPr>
        <w:t>] (Приложение Г4); AIMС65 (Приложение Г3), Шоковый индекс (&gt; 0,8) [</w:t>
      </w:r>
      <w:r w:rsidR="00EE5AA6" w:rsidRPr="00497E99">
        <w:rPr>
          <w:color w:val="000000" w:themeColor="text1"/>
        </w:rPr>
        <w:t>20</w:t>
      </w:r>
      <w:r w:rsidRPr="00497E99">
        <w:rPr>
          <w:color w:val="000000" w:themeColor="text1"/>
        </w:rPr>
        <w:t xml:space="preserve">] (приложение Г7), шкала ACS (приложение Г2). </w:t>
      </w:r>
    </w:p>
    <w:p w14:paraId="4E505276" w14:textId="77777777" w:rsidR="009A1A0E" w:rsidRPr="006F7A3D" w:rsidRDefault="009A1A0E" w:rsidP="00497E99">
      <w:pPr>
        <w:pStyle w:val="4"/>
        <w:spacing w:line="360" w:lineRule="auto"/>
      </w:pPr>
      <w:bookmarkStart w:id="59" w:name="_Toc146491608"/>
      <w:r w:rsidRPr="006F7A3D">
        <w:t xml:space="preserve"> </w:t>
      </w:r>
      <w:r w:rsidR="009E3CF8">
        <w:t xml:space="preserve"> </w:t>
      </w:r>
      <w:r w:rsidRPr="006F7A3D">
        <w:t>Ведение больных с массивной кровопотерей</w:t>
      </w:r>
      <w:bookmarkEnd w:id="59"/>
      <w:r w:rsidRPr="006F7A3D">
        <w:t xml:space="preserve"> </w:t>
      </w:r>
    </w:p>
    <w:p w14:paraId="7A784F68" w14:textId="77777777" w:rsidR="009A1A0E" w:rsidRPr="006F7A3D" w:rsidRDefault="009A1A0E" w:rsidP="00497E99">
      <w:pPr>
        <w:pStyle w:val="aff"/>
        <w:spacing w:line="360" w:lineRule="auto"/>
        <w:ind w:left="0" w:firstLine="0"/>
      </w:pPr>
      <w:r w:rsidRPr="006F7A3D">
        <w:t>Основными задачами интенсивной терапии является обеспечение адекватной доставки кислорода клетке и его потребление, коррекция гемостаза.</w:t>
      </w:r>
      <w:r w:rsidRPr="006F7A3D">
        <w:rPr>
          <w:color w:val="FF0000"/>
        </w:rPr>
        <w:t xml:space="preserve"> </w:t>
      </w:r>
    </w:p>
    <w:p w14:paraId="625C2410" w14:textId="77777777" w:rsidR="002F4478" w:rsidRPr="002F4478" w:rsidRDefault="009A1A0E" w:rsidP="009A1A0E">
      <w:pPr>
        <w:pStyle w:val="a"/>
      </w:pPr>
      <w:r w:rsidRPr="006F7A3D">
        <w:lastRenderedPageBreak/>
        <w:t xml:space="preserve">У пациентов с </w:t>
      </w:r>
      <w:r w:rsidR="0078748D">
        <w:t>СМВ</w:t>
      </w:r>
      <w:r w:rsidRPr="006F7A3D">
        <w:t xml:space="preserve"> при наличии нестабильной гемодинамики восполнение ОЦК рекомендуется начинать с введения сбалансированных солевых растворов (</w:t>
      </w:r>
      <w:r w:rsidRPr="008156B7">
        <w:rPr>
          <w:color w:val="000000" w:themeColor="text1"/>
        </w:rPr>
        <w:t>B05CB) [</w:t>
      </w:r>
      <w:r w:rsidR="00A83986" w:rsidRPr="008156B7">
        <w:rPr>
          <w:color w:val="000000" w:themeColor="text1"/>
        </w:rPr>
        <w:t>28</w:t>
      </w:r>
      <w:r w:rsidRPr="008156B7">
        <w:rPr>
          <w:color w:val="000000" w:themeColor="text1"/>
        </w:rPr>
        <w:t>].</w:t>
      </w:r>
    </w:p>
    <w:p w14:paraId="41DCB7B3" w14:textId="77777777" w:rsidR="002F4478" w:rsidRPr="002F4478" w:rsidRDefault="002F4478" w:rsidP="009A1A0E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1D4DEAF3" w14:textId="0025B6A6" w:rsidR="009A1A0E" w:rsidRPr="006F7A3D" w:rsidRDefault="009A1A0E" w:rsidP="009A1A0E">
      <w:pPr>
        <w:pStyle w:val="aff2"/>
      </w:pPr>
      <w:r w:rsidRPr="00FC5376">
        <w:rPr>
          <w:b/>
          <w:i w:val="0"/>
          <w:iCs w:val="0"/>
        </w:rPr>
        <w:t>Комментарии:</w:t>
      </w:r>
      <w:r w:rsidRPr="006F7A3D">
        <w:t xml:space="preserve"> Кровезаменители и препараты плазмы крови (Код АТХ: B05AA) также могут быть рассмотрены, но с учётом их негативного влияния на гемостаз и функцию почек. </w:t>
      </w:r>
    </w:p>
    <w:p w14:paraId="513B3807" w14:textId="5911B718" w:rsidR="009A1A0E" w:rsidRPr="006F7A3D" w:rsidRDefault="009A1A0E" w:rsidP="009A1A0E">
      <w:pPr>
        <w:pStyle w:val="a"/>
      </w:pPr>
      <w:r w:rsidRPr="006F7A3D">
        <w:t xml:space="preserve">Пациентам с </w:t>
      </w:r>
      <w:r w:rsidR="0078748D">
        <w:t>СМВ</w:t>
      </w:r>
      <w:r w:rsidRPr="006F7A3D">
        <w:t xml:space="preserve"> при верификации массивной кровопотери рекомендуется незамедлительно активировать протокол </w:t>
      </w:r>
      <w:r w:rsidRPr="00497E99">
        <w:rPr>
          <w:color w:val="000000" w:themeColor="text1"/>
        </w:rPr>
        <w:t>ее лечения [</w:t>
      </w:r>
      <w:r w:rsidR="001F1211" w:rsidRPr="00497E99">
        <w:rPr>
          <w:color w:val="000000" w:themeColor="text1"/>
        </w:rPr>
        <w:t>28</w:t>
      </w:r>
      <w:r w:rsidRPr="00497E99">
        <w:rPr>
          <w:color w:val="000000" w:themeColor="text1"/>
        </w:rPr>
        <w:t>].</w:t>
      </w:r>
      <w:r w:rsidRPr="006F7A3D">
        <w:t xml:space="preserve"> </w:t>
      </w:r>
    </w:p>
    <w:p w14:paraId="4E7ACC23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bookmarkStart w:id="60" w:name="_Toc146491609"/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bookmarkEnd w:id="60"/>
    <w:p w14:paraId="4ACEFCFC" w14:textId="6D7893B4" w:rsidR="009A1A0E" w:rsidRPr="006F7A3D" w:rsidRDefault="009A1A0E" w:rsidP="009A1A0E">
      <w:pPr>
        <w:pStyle w:val="a"/>
        <w:rPr>
          <w:b/>
          <w:bCs/>
        </w:rPr>
      </w:pPr>
      <w:r w:rsidRPr="006F7A3D">
        <w:t xml:space="preserve">Пациентам с </w:t>
      </w:r>
      <w:r w:rsidR="0078748D">
        <w:t>СМВ</w:t>
      </w:r>
      <w:r w:rsidRPr="006F7A3D">
        <w:t xml:space="preserve"> при немассивной кровопотере рекомендуется проводить </w:t>
      </w:r>
      <w:proofErr w:type="spellStart"/>
      <w:r w:rsidRPr="006F7A3D">
        <w:t>инфузионно</w:t>
      </w:r>
      <w:proofErr w:type="spellEnd"/>
      <w:r w:rsidRPr="006F7A3D">
        <w:t xml:space="preserve">- </w:t>
      </w:r>
      <w:proofErr w:type="spellStart"/>
      <w:r w:rsidRPr="006F7A3D">
        <w:t>трансфузионную</w:t>
      </w:r>
      <w:proofErr w:type="spellEnd"/>
      <w:r w:rsidRPr="006F7A3D">
        <w:t xml:space="preserve"> терапию </w:t>
      </w:r>
      <w:proofErr w:type="spellStart"/>
      <w:r w:rsidRPr="006F7A3D">
        <w:t>рестриктивного</w:t>
      </w:r>
      <w:proofErr w:type="spellEnd"/>
      <w:r w:rsidRPr="006F7A3D">
        <w:t xml:space="preserve"> </w:t>
      </w:r>
      <w:r w:rsidRPr="00497E99">
        <w:rPr>
          <w:color w:val="000000" w:themeColor="text1"/>
        </w:rPr>
        <w:t>характера [</w:t>
      </w:r>
      <w:r w:rsidR="000348A1" w:rsidRPr="00497E99">
        <w:rPr>
          <w:color w:val="000000" w:themeColor="text1"/>
        </w:rPr>
        <w:t>27</w:t>
      </w:r>
      <w:r w:rsidRPr="00497E99">
        <w:rPr>
          <w:color w:val="000000" w:themeColor="text1"/>
        </w:rPr>
        <w:t>].</w:t>
      </w:r>
    </w:p>
    <w:p w14:paraId="1AFCD98F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0F9075D2" w14:textId="0C477F2D" w:rsidR="009A1A0E" w:rsidRPr="00497E99" w:rsidRDefault="009A1A0E" w:rsidP="009A1A0E">
      <w:pPr>
        <w:pStyle w:val="aff2"/>
        <w:rPr>
          <w:color w:val="000000" w:themeColor="text1"/>
        </w:rPr>
      </w:pPr>
      <w:r w:rsidRPr="00FC5376">
        <w:rPr>
          <w:b/>
          <w:bCs w:val="0"/>
          <w:i w:val="0"/>
          <w:iCs w:val="0"/>
        </w:rPr>
        <w:t>Комментарии</w:t>
      </w:r>
      <w:proofErr w:type="gramStart"/>
      <w:r w:rsidRPr="00FC5376">
        <w:rPr>
          <w:b/>
          <w:bCs w:val="0"/>
          <w:i w:val="0"/>
          <w:iCs w:val="0"/>
        </w:rPr>
        <w:t>:</w:t>
      </w:r>
      <w:r>
        <w:t xml:space="preserve"> </w:t>
      </w:r>
      <w:r w:rsidRPr="006F7A3D">
        <w:t>У</w:t>
      </w:r>
      <w:proofErr w:type="gramEnd"/>
      <w:r w:rsidRPr="006F7A3D">
        <w:t xml:space="preserve"> пациентов с </w:t>
      </w:r>
      <w:r w:rsidR="0078748D">
        <w:t>СМВ</w:t>
      </w:r>
      <w:r w:rsidRPr="006F7A3D">
        <w:t xml:space="preserve"> необходимо достичь целевых показателей адекватности перфузии после осуществления «хирургического» гемостаза. Либеральная </w:t>
      </w:r>
      <w:proofErr w:type="spellStart"/>
      <w:r w:rsidRPr="006F7A3D">
        <w:t>инфузионно-трансфузионная</w:t>
      </w:r>
      <w:proofErr w:type="spellEnd"/>
      <w:r w:rsidRPr="006F7A3D">
        <w:t xml:space="preserve"> терапия, раннее достижение целевых показателей гемодинамики (до хирургического гемостаза) могут приводить к </w:t>
      </w:r>
      <w:proofErr w:type="spellStart"/>
      <w:r w:rsidRPr="006F7A3D">
        <w:t>гемодилюции</w:t>
      </w:r>
      <w:proofErr w:type="spellEnd"/>
      <w:r w:rsidRPr="006F7A3D">
        <w:t xml:space="preserve">, повышенному </w:t>
      </w:r>
      <w:proofErr w:type="spellStart"/>
      <w:r w:rsidRPr="006F7A3D">
        <w:t>перфузионному</w:t>
      </w:r>
      <w:proofErr w:type="spellEnd"/>
      <w:r w:rsidRPr="006F7A3D">
        <w:t xml:space="preserve"> давлению, что влечёт за собой </w:t>
      </w:r>
      <w:r w:rsidRPr="00497E99">
        <w:rPr>
          <w:color w:val="000000" w:themeColor="text1"/>
        </w:rPr>
        <w:t>увеличение кровопотери [</w:t>
      </w:r>
      <w:r w:rsidR="00DC28B3" w:rsidRPr="00497E99">
        <w:rPr>
          <w:color w:val="000000" w:themeColor="text1"/>
        </w:rPr>
        <w:t>83 84</w:t>
      </w:r>
      <w:r w:rsidRPr="00497E99">
        <w:rPr>
          <w:color w:val="000000" w:themeColor="text1"/>
        </w:rPr>
        <w:t>].</w:t>
      </w:r>
    </w:p>
    <w:p w14:paraId="3404C45F" w14:textId="03C83EBB" w:rsidR="009A1A0E" w:rsidRPr="006F7A3D" w:rsidRDefault="009A1A0E" w:rsidP="009A1A0E">
      <w:pPr>
        <w:pStyle w:val="a"/>
      </w:pPr>
      <w:r w:rsidRPr="006F7A3D">
        <w:t xml:space="preserve">Пациентам с </w:t>
      </w:r>
      <w:r w:rsidR="0078748D">
        <w:t>СМВ</w:t>
      </w:r>
      <w:r w:rsidRPr="006F7A3D">
        <w:t xml:space="preserve"> рекомендуется проведение гемотрансфузии при уровне гемоглобина менее 70 г/л; пациентам с кардиоваскулярными заболеваниями порог начала гемотрансфузии может быть выше</w:t>
      </w:r>
      <w:r>
        <w:t xml:space="preserve"> – </w:t>
      </w:r>
      <w:r w:rsidRPr="00497E99">
        <w:rPr>
          <w:color w:val="000000" w:themeColor="text1"/>
        </w:rPr>
        <w:t>90 г/л [</w:t>
      </w:r>
      <w:r w:rsidR="00DC28B3" w:rsidRPr="00497E99">
        <w:rPr>
          <w:color w:val="000000" w:themeColor="text1"/>
        </w:rPr>
        <w:t>13</w:t>
      </w:r>
      <w:r w:rsidRPr="00497E99">
        <w:rPr>
          <w:color w:val="000000" w:themeColor="text1"/>
        </w:rPr>
        <w:t xml:space="preserve">, </w:t>
      </w:r>
      <w:r w:rsidR="00DC28B3" w:rsidRPr="00497E99">
        <w:rPr>
          <w:color w:val="000000" w:themeColor="text1"/>
        </w:rPr>
        <w:t>27</w:t>
      </w:r>
      <w:r w:rsidRPr="00497E99">
        <w:rPr>
          <w:color w:val="000000" w:themeColor="text1"/>
        </w:rPr>
        <w:t>,</w:t>
      </w:r>
      <w:r w:rsidR="00DC28B3" w:rsidRPr="00497E99">
        <w:rPr>
          <w:color w:val="000000" w:themeColor="text1"/>
        </w:rPr>
        <w:t xml:space="preserve"> 28</w:t>
      </w:r>
      <w:r w:rsidRPr="00497E99">
        <w:rPr>
          <w:color w:val="000000" w:themeColor="text1"/>
        </w:rPr>
        <w:t>].</w:t>
      </w:r>
    </w:p>
    <w:p w14:paraId="52FA646C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0F5FAAA0" w14:textId="14A44D96" w:rsidR="009A1A0E" w:rsidRPr="006F7A3D" w:rsidRDefault="009A1A0E" w:rsidP="009A1A0E">
      <w:pPr>
        <w:pStyle w:val="aff2"/>
      </w:pPr>
      <w:r w:rsidRPr="00FC5376">
        <w:rPr>
          <w:b/>
          <w:bCs w:val="0"/>
          <w:i w:val="0"/>
          <w:iCs w:val="0"/>
        </w:rPr>
        <w:t>Комментарии:</w:t>
      </w:r>
      <w:r w:rsidRPr="009D3B88">
        <w:t xml:space="preserve"> </w:t>
      </w:r>
      <w:r w:rsidRPr="006F7A3D">
        <w:t xml:space="preserve">Пациентам с </w:t>
      </w:r>
      <w:r w:rsidR="0078748D">
        <w:t>СМВ</w:t>
      </w:r>
      <w:r w:rsidRPr="006F7A3D">
        <w:t xml:space="preserve"> целесообразна трансфузия свежезамороженной плазмы при наличии гипокоагуляции и продолжающегося кровотечения или высокого риска его возобновления.</w:t>
      </w:r>
      <w:r>
        <w:t xml:space="preserve"> </w:t>
      </w:r>
    </w:p>
    <w:p w14:paraId="642167BB" w14:textId="406B5AB8" w:rsidR="009A1A0E" w:rsidRPr="006F7A3D" w:rsidRDefault="009A1A0E" w:rsidP="009A1A0E">
      <w:pPr>
        <w:pStyle w:val="aff2"/>
        <w:rPr>
          <w:b/>
        </w:rPr>
      </w:pPr>
      <w:r w:rsidRPr="006F7A3D">
        <w:t xml:space="preserve">Пациентам с </w:t>
      </w:r>
      <w:r w:rsidR="0078748D">
        <w:t>СМВ</w:t>
      </w:r>
      <w:r w:rsidRPr="006F7A3D">
        <w:t xml:space="preserve"> </w:t>
      </w:r>
      <w:r>
        <w:t xml:space="preserve">рекомендуется рассмотреть возможность </w:t>
      </w:r>
      <w:r w:rsidRPr="006F7A3D">
        <w:t>трансфузи</w:t>
      </w:r>
      <w:r>
        <w:t>и</w:t>
      </w:r>
      <w:r w:rsidRPr="006F7A3D">
        <w:t xml:space="preserve"> </w:t>
      </w:r>
      <w:r>
        <w:t>Ф</w:t>
      </w:r>
      <w:r w:rsidRPr="006F7A3D">
        <w:t xml:space="preserve">актора свертывания крови VIII (Код АТХ: B02BD02) для достижения уровня фибриногена (по Клаусу) более 1,5 г/л. </w:t>
      </w:r>
    </w:p>
    <w:p w14:paraId="70956632" w14:textId="76DBB740" w:rsidR="009A1A0E" w:rsidRPr="006F7A3D" w:rsidRDefault="009A1A0E" w:rsidP="009A1A0E">
      <w:pPr>
        <w:pStyle w:val="a"/>
      </w:pPr>
      <w:r w:rsidRPr="006F7A3D">
        <w:t xml:space="preserve">У пациентов с </w:t>
      </w:r>
      <w:r w:rsidR="0078748D">
        <w:t>СМВ</w:t>
      </w:r>
      <w:r w:rsidRPr="006F7A3D">
        <w:t xml:space="preserve"> при массивной кровопотере рекомендуется поддерживать уровень тромбоцитов более 50 х </w:t>
      </w:r>
      <w:r w:rsidRPr="00497E99">
        <w:rPr>
          <w:color w:val="000000" w:themeColor="text1"/>
        </w:rPr>
        <w:t>10</w:t>
      </w:r>
      <w:r w:rsidRPr="00497E99">
        <w:rPr>
          <w:color w:val="000000" w:themeColor="text1"/>
          <w:vertAlign w:val="superscript"/>
        </w:rPr>
        <w:t>9</w:t>
      </w:r>
      <w:r w:rsidRPr="00497E99">
        <w:rPr>
          <w:color w:val="000000" w:themeColor="text1"/>
        </w:rPr>
        <w:t>/</w:t>
      </w:r>
      <w:r w:rsidR="00497E99">
        <w:rPr>
          <w:color w:val="000000" w:themeColor="text1"/>
        </w:rPr>
        <w:t>л</w:t>
      </w:r>
      <w:r w:rsidRPr="00497E99">
        <w:rPr>
          <w:color w:val="000000" w:themeColor="text1"/>
        </w:rPr>
        <w:t xml:space="preserve"> [</w:t>
      </w:r>
      <w:r w:rsidR="00DC28B3" w:rsidRPr="00497E99">
        <w:rPr>
          <w:color w:val="000000" w:themeColor="text1"/>
        </w:rPr>
        <w:t>27</w:t>
      </w:r>
      <w:r w:rsidRPr="00497E99">
        <w:rPr>
          <w:color w:val="000000" w:themeColor="text1"/>
        </w:rPr>
        <w:t>].</w:t>
      </w:r>
    </w:p>
    <w:p w14:paraId="26DB711D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43A5D451" w14:textId="6AEB70C7" w:rsidR="009A1A0E" w:rsidRPr="006F7A3D" w:rsidRDefault="009A1A0E" w:rsidP="009A1A0E">
      <w:pPr>
        <w:pStyle w:val="aff2"/>
      </w:pPr>
      <w:r w:rsidRPr="00FC5376">
        <w:rPr>
          <w:b/>
          <w:bCs w:val="0"/>
          <w:i w:val="0"/>
          <w:iCs w:val="0"/>
        </w:rPr>
        <w:lastRenderedPageBreak/>
        <w:t>Комментарии</w:t>
      </w:r>
      <w:proofErr w:type="gramStart"/>
      <w:r w:rsidRPr="00FC5376">
        <w:rPr>
          <w:b/>
          <w:bCs w:val="0"/>
          <w:i w:val="0"/>
          <w:iCs w:val="0"/>
        </w:rPr>
        <w:t>:</w:t>
      </w:r>
      <w:r>
        <w:t xml:space="preserve"> </w:t>
      </w:r>
      <w:r w:rsidRPr="006F7A3D">
        <w:t>У</w:t>
      </w:r>
      <w:proofErr w:type="gramEnd"/>
      <w:r w:rsidRPr="006F7A3D">
        <w:t xml:space="preserve"> части пациентов с </w:t>
      </w:r>
      <w:r w:rsidR="0078748D">
        <w:t>СМВ</w:t>
      </w:r>
      <w:r w:rsidRPr="006F7A3D">
        <w:t xml:space="preserve"> целесообразно использование норэпинефрина** (Код АТХ: C01CA03) и эпинефрина** (Код АТХ: C01CA24) с целью поддержания необходимого </w:t>
      </w:r>
      <w:proofErr w:type="spellStart"/>
      <w:r w:rsidRPr="006F7A3D">
        <w:t>перфузионного</w:t>
      </w:r>
      <w:proofErr w:type="spellEnd"/>
      <w:r w:rsidRPr="006F7A3D">
        <w:t xml:space="preserve"> давления.</w:t>
      </w:r>
    </w:p>
    <w:p w14:paraId="4BCF0BAE" w14:textId="77777777" w:rsidR="009A1A0E" w:rsidRPr="006F7A3D" w:rsidRDefault="009A1A0E" w:rsidP="009A1A0E">
      <w:pPr>
        <w:pStyle w:val="aff2"/>
      </w:pPr>
      <w:r w:rsidRPr="00FC5376">
        <w:rPr>
          <w:b/>
          <w:i w:val="0"/>
          <w:iCs w:val="0"/>
        </w:rPr>
        <w:t>Комментарии:</w:t>
      </w:r>
      <w:r w:rsidRPr="009D3B88">
        <w:rPr>
          <w:b/>
        </w:rPr>
        <w:t xml:space="preserve"> </w:t>
      </w:r>
      <w:r w:rsidRPr="006F7A3D">
        <w:t xml:space="preserve">Использование норэпинефрина** (Код АТХ: C01CA03) и эпинефрина** (Код </w:t>
      </w:r>
      <w:r w:rsidRPr="00497E99">
        <w:rPr>
          <w:color w:val="000000" w:themeColor="text1"/>
        </w:rPr>
        <w:t xml:space="preserve">АТХ: C01CA24) также может быть рассмотрено при снижении </w:t>
      </w:r>
      <w:proofErr w:type="spellStart"/>
      <w:r w:rsidRPr="00497E99">
        <w:rPr>
          <w:color w:val="000000" w:themeColor="text1"/>
        </w:rPr>
        <w:t>контрактильной</w:t>
      </w:r>
      <w:proofErr w:type="spellEnd"/>
      <w:r w:rsidRPr="00497E99">
        <w:rPr>
          <w:color w:val="000000" w:themeColor="text1"/>
        </w:rPr>
        <w:t xml:space="preserve"> функции сердца [</w:t>
      </w:r>
      <w:r w:rsidR="00DC28B3" w:rsidRPr="00497E99">
        <w:rPr>
          <w:color w:val="000000" w:themeColor="text1"/>
        </w:rPr>
        <w:t>27,28</w:t>
      </w:r>
      <w:r w:rsidRPr="00497E99">
        <w:rPr>
          <w:color w:val="000000" w:themeColor="text1"/>
        </w:rPr>
        <w:t>].</w:t>
      </w:r>
      <w:r w:rsidRPr="006F7A3D">
        <w:t xml:space="preserve"> </w:t>
      </w:r>
    </w:p>
    <w:p w14:paraId="60FFED66" w14:textId="77777777" w:rsidR="009A1A0E" w:rsidRPr="006F7A3D" w:rsidRDefault="009A1A0E" w:rsidP="009A1A0E">
      <w:pPr>
        <w:pStyle w:val="aff2"/>
      </w:pPr>
      <w:r w:rsidRPr="006F7A3D">
        <w:t>Критериями восстановления адекватной перфузии служат: состояние кожных покровов (мозаичность, время заполнения капилляров, температура); уровень сознания; величина диуреза; нормализация КЩС, лактата; достижение целевого уровня гемодинамики [13,16].</w:t>
      </w:r>
    </w:p>
    <w:p w14:paraId="55433E11" w14:textId="77777777" w:rsidR="009A1A0E" w:rsidRPr="006F7A3D" w:rsidRDefault="009A1A0E" w:rsidP="009A1A0E">
      <w:pPr>
        <w:pStyle w:val="aff2"/>
      </w:pPr>
      <w:r w:rsidRPr="006F7A3D">
        <w:t xml:space="preserve">Критериями адекватности </w:t>
      </w:r>
      <w:proofErr w:type="spellStart"/>
      <w:r w:rsidRPr="006F7A3D">
        <w:t>трансфузионной</w:t>
      </w:r>
      <w:proofErr w:type="spellEnd"/>
      <w:r w:rsidRPr="006F7A3D">
        <w:t xml:space="preserve"> терапии служат: отсутствие патологической кровоточивости (при условии выполненного «хирургического» гемостаза); нормализация гемостаза по глобальным </w:t>
      </w:r>
      <w:proofErr w:type="spellStart"/>
      <w:r w:rsidRPr="006F7A3D">
        <w:t>коагулологическим</w:t>
      </w:r>
      <w:proofErr w:type="spellEnd"/>
      <w:r w:rsidRPr="006F7A3D">
        <w:t xml:space="preserve"> тестам и/или тестированием гемостаза </w:t>
      </w:r>
      <w:proofErr w:type="spellStart"/>
      <w:r w:rsidRPr="006F7A3D">
        <w:t>вязкоэластическими</w:t>
      </w:r>
      <w:proofErr w:type="spellEnd"/>
      <w:r w:rsidRPr="00497E99">
        <w:rPr>
          <w:color w:val="000000" w:themeColor="text1"/>
        </w:rPr>
        <w:t xml:space="preserve"> методиками [1</w:t>
      </w:r>
      <w:r w:rsidR="00DC28B3" w:rsidRPr="00497E99">
        <w:rPr>
          <w:color w:val="000000" w:themeColor="text1"/>
        </w:rPr>
        <w:t>6</w:t>
      </w:r>
      <w:r w:rsidRPr="00497E99">
        <w:rPr>
          <w:color w:val="000000" w:themeColor="text1"/>
        </w:rPr>
        <w:t>,</w:t>
      </w:r>
      <w:r w:rsidR="00DC28B3" w:rsidRPr="00497E99">
        <w:rPr>
          <w:color w:val="000000" w:themeColor="text1"/>
        </w:rPr>
        <w:t>27</w:t>
      </w:r>
      <w:r w:rsidRPr="00497E99">
        <w:rPr>
          <w:color w:val="000000" w:themeColor="text1"/>
        </w:rPr>
        <w:t>,</w:t>
      </w:r>
      <w:r w:rsidR="00DC28B3" w:rsidRPr="00497E99">
        <w:rPr>
          <w:color w:val="000000" w:themeColor="text1"/>
        </w:rPr>
        <w:t>28</w:t>
      </w:r>
      <w:r w:rsidRPr="00497E99">
        <w:rPr>
          <w:color w:val="000000" w:themeColor="text1"/>
        </w:rPr>
        <w:t xml:space="preserve">]. </w:t>
      </w:r>
    </w:p>
    <w:p w14:paraId="0FB0EE1E" w14:textId="77777777" w:rsidR="009A1A0E" w:rsidRPr="00497E99" w:rsidRDefault="009A1A0E" w:rsidP="00497E99">
      <w:pPr>
        <w:pStyle w:val="4"/>
        <w:spacing w:line="360" w:lineRule="auto"/>
        <w:rPr>
          <w:color w:val="000000" w:themeColor="text1"/>
          <w:u w:val="single"/>
        </w:rPr>
      </w:pPr>
      <w:bookmarkStart w:id="61" w:name="_Toc146491613"/>
      <w:r w:rsidRPr="00497E99">
        <w:rPr>
          <w:color w:val="000000" w:themeColor="text1"/>
        </w:rPr>
        <w:t xml:space="preserve"> </w:t>
      </w:r>
      <w:r w:rsidR="009E3CF8" w:rsidRPr="00497E99">
        <w:rPr>
          <w:color w:val="000000" w:themeColor="text1"/>
          <w:u w:val="single"/>
        </w:rPr>
        <w:t>3.</w:t>
      </w:r>
      <w:r w:rsidR="00174CBA">
        <w:rPr>
          <w:color w:val="000000" w:themeColor="text1"/>
          <w:u w:val="single"/>
        </w:rPr>
        <w:t>3</w:t>
      </w:r>
      <w:r w:rsidR="009E3CF8" w:rsidRPr="00497E99">
        <w:rPr>
          <w:color w:val="000000" w:themeColor="text1"/>
          <w:u w:val="single"/>
        </w:rPr>
        <w:t xml:space="preserve">. </w:t>
      </w:r>
      <w:r w:rsidRPr="00497E99">
        <w:rPr>
          <w:color w:val="000000" w:themeColor="text1"/>
          <w:u w:val="single"/>
        </w:rPr>
        <w:t>Эндоскопическое лечение</w:t>
      </w:r>
      <w:bookmarkEnd w:id="61"/>
      <w:r w:rsidRPr="00497E99">
        <w:rPr>
          <w:color w:val="000000" w:themeColor="text1"/>
          <w:u w:val="single"/>
        </w:rPr>
        <w:t xml:space="preserve"> </w:t>
      </w:r>
    </w:p>
    <w:p w14:paraId="11ABA382" w14:textId="65853014" w:rsidR="009A1A0E" w:rsidRPr="00497E99" w:rsidRDefault="009A1A0E" w:rsidP="00497E99">
      <w:pPr>
        <w:pStyle w:val="a"/>
        <w:rPr>
          <w:color w:val="000000" w:themeColor="text1"/>
        </w:rPr>
      </w:pPr>
      <w:r w:rsidRPr="00497E99">
        <w:rPr>
          <w:color w:val="000000" w:themeColor="text1"/>
        </w:rPr>
        <w:t xml:space="preserve">У пациентов с </w:t>
      </w:r>
      <w:r w:rsidR="0078748D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 при продолжающемся кровотечении из </w:t>
      </w:r>
      <w:r w:rsidR="0078748D">
        <w:rPr>
          <w:color w:val="000000" w:themeColor="text1"/>
        </w:rPr>
        <w:t>разрывов пищевода и/или желудка</w:t>
      </w:r>
      <w:r w:rsidRPr="00497E99">
        <w:rPr>
          <w:color w:val="000000" w:themeColor="text1"/>
        </w:rPr>
        <w:t xml:space="preserve"> рекомендуется выполнить гемостаз</w:t>
      </w:r>
      <w:r w:rsidR="006143BA">
        <w:rPr>
          <w:color w:val="000000" w:themeColor="text1"/>
        </w:rPr>
        <w:t xml:space="preserve"> (</w:t>
      </w:r>
      <w:r w:rsidR="006143BA" w:rsidRPr="006143BA">
        <w:rPr>
          <w:color w:val="000000" w:themeColor="text1"/>
        </w:rPr>
        <w:t xml:space="preserve">A16.12.020 Остановка кровотечения </w:t>
      </w:r>
      <w:r w:rsidR="004D587D">
        <w:rPr>
          <w:color w:val="000000" w:themeColor="text1"/>
        </w:rPr>
        <w:t>из периферического сосуда</w:t>
      </w:r>
      <w:r w:rsidR="006143BA">
        <w:rPr>
          <w:color w:val="000000" w:themeColor="text1"/>
        </w:rPr>
        <w:t>)</w:t>
      </w:r>
      <w:r w:rsidRPr="00497E99">
        <w:rPr>
          <w:color w:val="000000" w:themeColor="text1"/>
        </w:rPr>
        <w:t xml:space="preserve"> через эндоскоп медицинский гибкий [1</w:t>
      </w:r>
      <w:r w:rsidR="00DC28B3" w:rsidRPr="00497E99">
        <w:rPr>
          <w:color w:val="000000" w:themeColor="text1"/>
        </w:rPr>
        <w:t>3, 19, 23, 31</w:t>
      </w:r>
      <w:r w:rsidRPr="00497E99">
        <w:rPr>
          <w:color w:val="000000" w:themeColor="text1"/>
        </w:rPr>
        <w:t>].</w:t>
      </w:r>
    </w:p>
    <w:p w14:paraId="2BE02031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2B60C1B4" w14:textId="3D4F7FAB" w:rsidR="009A1A0E" w:rsidRPr="00497E99" w:rsidRDefault="009A1A0E" w:rsidP="009A1A0E">
      <w:pPr>
        <w:pStyle w:val="aff2"/>
        <w:rPr>
          <w:color w:val="000000" w:themeColor="text1"/>
        </w:rPr>
      </w:pPr>
      <w:r w:rsidRPr="00497E99">
        <w:rPr>
          <w:b/>
          <w:i w:val="0"/>
          <w:iCs w:val="0"/>
          <w:color w:val="000000" w:themeColor="text1"/>
        </w:rPr>
        <w:t>Комментарии</w:t>
      </w:r>
      <w:proofErr w:type="gramStart"/>
      <w:r w:rsidRPr="00497E99">
        <w:rPr>
          <w:b/>
          <w:i w:val="0"/>
          <w:iCs w:val="0"/>
          <w:color w:val="000000" w:themeColor="text1"/>
        </w:rPr>
        <w:t>:</w:t>
      </w:r>
      <w:r w:rsidRPr="00497E99">
        <w:rPr>
          <w:color w:val="000000" w:themeColor="text1"/>
        </w:rPr>
        <w:t xml:space="preserve"> При</w:t>
      </w:r>
      <w:proofErr w:type="gramEnd"/>
      <w:r w:rsidRPr="00497E99">
        <w:rPr>
          <w:color w:val="000000" w:themeColor="text1"/>
        </w:rPr>
        <w:t xml:space="preserve"> </w:t>
      </w:r>
      <w:r w:rsidR="0078748D">
        <w:rPr>
          <w:color w:val="000000" w:themeColor="text1"/>
        </w:rPr>
        <w:t>остановившемся кровотечении возможно удаление</w:t>
      </w:r>
      <w:r w:rsidRPr="00497E99">
        <w:rPr>
          <w:color w:val="000000" w:themeColor="text1"/>
        </w:rPr>
        <w:t xml:space="preserve"> кровяного сгустка с помощью прицельного отмывания. [</w:t>
      </w:r>
      <w:r w:rsidR="00ED7E24" w:rsidRPr="00497E99">
        <w:rPr>
          <w:color w:val="000000" w:themeColor="text1"/>
        </w:rPr>
        <w:t>13, 19, 23, 31</w:t>
      </w:r>
      <w:r w:rsidRPr="00497E99">
        <w:rPr>
          <w:color w:val="000000" w:themeColor="text1"/>
        </w:rPr>
        <w:t xml:space="preserve">]. </w:t>
      </w:r>
    </w:p>
    <w:p w14:paraId="39F3E4EB" w14:textId="3BC38FF9" w:rsidR="009A1A0E" w:rsidRPr="00497E99" w:rsidRDefault="009A1A0E" w:rsidP="009A1A0E">
      <w:pPr>
        <w:pStyle w:val="a"/>
        <w:rPr>
          <w:rStyle w:val="aff0"/>
          <w:b/>
          <w:bCs/>
          <w:color w:val="000000" w:themeColor="text1"/>
        </w:rPr>
      </w:pPr>
      <w:r w:rsidRPr="00497E99">
        <w:rPr>
          <w:color w:val="000000" w:themeColor="text1"/>
        </w:rPr>
        <w:t xml:space="preserve">У пациентов с </w:t>
      </w:r>
      <w:r w:rsidR="0078748D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 при остановившемся кровотечении эндоскопическая профилактика рецидива кровотечения </w:t>
      </w:r>
      <w:r w:rsidR="0078748D">
        <w:rPr>
          <w:color w:val="000000" w:themeColor="text1"/>
        </w:rPr>
        <w:t xml:space="preserve">рутинно </w:t>
      </w:r>
      <w:r w:rsidRPr="00497E99">
        <w:rPr>
          <w:color w:val="000000" w:themeColor="text1"/>
        </w:rPr>
        <w:t>не рекомендуется [</w:t>
      </w:r>
      <w:r w:rsidR="00ED7E24" w:rsidRPr="00497E99">
        <w:rPr>
          <w:color w:val="000000" w:themeColor="text1"/>
        </w:rPr>
        <w:t>13, 19, 23, 31</w:t>
      </w:r>
      <w:r w:rsidRPr="00497E99">
        <w:rPr>
          <w:rStyle w:val="aff0"/>
          <w:color w:val="000000" w:themeColor="text1"/>
        </w:rPr>
        <w:t>].</w:t>
      </w:r>
    </w:p>
    <w:p w14:paraId="6DB82A5B" w14:textId="77777777" w:rsidR="002F4478" w:rsidRPr="002F4478" w:rsidRDefault="002F4478" w:rsidP="002F4478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>Уровень убедительности рекомендаций С (уровень достоверности доказательств – 5)</w:t>
      </w:r>
    </w:p>
    <w:p w14:paraId="376538C1" w14:textId="503FCF17" w:rsidR="009A1A0E" w:rsidRPr="00497E99" w:rsidRDefault="009A1A0E" w:rsidP="009A1A0E">
      <w:pPr>
        <w:pStyle w:val="aff2"/>
        <w:rPr>
          <w:color w:val="000000" w:themeColor="text1"/>
        </w:rPr>
      </w:pPr>
      <w:r w:rsidRPr="00497E99">
        <w:rPr>
          <w:b/>
          <w:i w:val="0"/>
          <w:iCs w:val="0"/>
          <w:color w:val="000000" w:themeColor="text1"/>
        </w:rPr>
        <w:t>Комментарии:</w:t>
      </w:r>
      <w:r w:rsidRPr="00497E99">
        <w:rPr>
          <w:b/>
          <w:color w:val="000000" w:themeColor="text1"/>
        </w:rPr>
        <w:t xml:space="preserve"> </w:t>
      </w:r>
      <w:r w:rsidRPr="00497E99">
        <w:rPr>
          <w:color w:val="000000" w:themeColor="text1"/>
        </w:rPr>
        <w:t xml:space="preserve">В таких случаях важным является обеспечение адекватной медикаментозной профилактики рецидива кровотечения. Эндоскопическую остановку (профилактику рецидива) кровотечения необходимо выполнить в течение 2 часов от момента госпитализации пациента. У пациентов с </w:t>
      </w:r>
      <w:r w:rsidR="0078748D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 для эндоскопической остановки кровотечения из </w:t>
      </w:r>
      <w:r w:rsidR="0078748D">
        <w:rPr>
          <w:color w:val="000000" w:themeColor="text1"/>
        </w:rPr>
        <w:t>разрывов</w:t>
      </w:r>
      <w:r w:rsidRPr="00497E99">
        <w:rPr>
          <w:color w:val="000000" w:themeColor="text1"/>
        </w:rPr>
        <w:t xml:space="preserve"> и профилактики его рецидива целесообразно применять инъекционный метод гемостаза в сочетании с т</w:t>
      </w:r>
      <w:r w:rsidR="000D0F34">
        <w:rPr>
          <w:color w:val="000000" w:themeColor="text1"/>
        </w:rPr>
        <w:t xml:space="preserve">ермическими (диатермокоагуляция, </w:t>
      </w:r>
      <w:proofErr w:type="spellStart"/>
      <w:r w:rsidRPr="00497E99">
        <w:rPr>
          <w:color w:val="000000" w:themeColor="text1"/>
        </w:rPr>
        <w:t>аргоноплазменная</w:t>
      </w:r>
      <w:proofErr w:type="spellEnd"/>
      <w:r w:rsidRPr="00497E99">
        <w:rPr>
          <w:color w:val="000000" w:themeColor="text1"/>
        </w:rPr>
        <w:t xml:space="preserve"> </w:t>
      </w:r>
      <w:proofErr w:type="spellStart"/>
      <w:r w:rsidR="000D0F34">
        <w:rPr>
          <w:color w:val="000000" w:themeColor="text1"/>
        </w:rPr>
        <w:t>коаугуляция</w:t>
      </w:r>
      <w:proofErr w:type="spellEnd"/>
      <w:r w:rsidR="000D0F34">
        <w:rPr>
          <w:color w:val="000000" w:themeColor="text1"/>
        </w:rPr>
        <w:t xml:space="preserve"> </w:t>
      </w:r>
      <w:r w:rsidRPr="00497E99">
        <w:rPr>
          <w:color w:val="000000" w:themeColor="text1"/>
        </w:rPr>
        <w:t xml:space="preserve">(A22.30.033.001)) </w:t>
      </w:r>
      <w:r w:rsidR="000D0F34">
        <w:rPr>
          <w:color w:val="000000" w:themeColor="text1"/>
        </w:rPr>
        <w:t xml:space="preserve">или </w:t>
      </w:r>
      <w:proofErr w:type="spellStart"/>
      <w:r w:rsidR="000D0F34">
        <w:rPr>
          <w:color w:val="000000" w:themeColor="text1"/>
        </w:rPr>
        <w:t>клипирование</w:t>
      </w:r>
      <w:proofErr w:type="spellEnd"/>
      <w:r w:rsidRPr="00497E99">
        <w:rPr>
          <w:color w:val="000000" w:themeColor="text1"/>
        </w:rPr>
        <w:t xml:space="preserve"> [</w:t>
      </w:r>
      <w:r w:rsidR="00B469F2" w:rsidRPr="00497E99">
        <w:rPr>
          <w:color w:val="000000" w:themeColor="text1"/>
        </w:rPr>
        <w:t>13, 14, 19, 23, 31</w:t>
      </w:r>
      <w:r w:rsidRPr="00497E99">
        <w:rPr>
          <w:color w:val="000000" w:themeColor="text1"/>
        </w:rPr>
        <w:t xml:space="preserve">]. Инъекционный гемостаз в качестве </w:t>
      </w:r>
      <w:proofErr w:type="spellStart"/>
      <w:r w:rsidRPr="00497E99">
        <w:rPr>
          <w:color w:val="000000" w:themeColor="text1"/>
        </w:rPr>
        <w:t>монотерапии</w:t>
      </w:r>
      <w:proofErr w:type="spellEnd"/>
      <w:r w:rsidRPr="00497E99">
        <w:rPr>
          <w:color w:val="000000" w:themeColor="text1"/>
        </w:rPr>
        <w:t xml:space="preserve"> не обеспечивает должной эффективности </w:t>
      </w:r>
      <w:r w:rsidRPr="00497E99">
        <w:rPr>
          <w:color w:val="000000" w:themeColor="text1"/>
        </w:rPr>
        <w:lastRenderedPageBreak/>
        <w:t>и должен применяться только в комбинации с другими методами эндоскопического гемостаза. Как дополнение к комбинированному эндоскопическому гемостазу могут быть использованы и другие местные методы эндоскопического гемостаза [</w:t>
      </w:r>
      <w:r w:rsidR="00B469F2" w:rsidRPr="00497E99">
        <w:rPr>
          <w:color w:val="000000" w:themeColor="text1"/>
        </w:rPr>
        <w:t>13, 14, 19, 23, 31</w:t>
      </w:r>
      <w:r w:rsidRPr="00497E99">
        <w:rPr>
          <w:color w:val="000000" w:themeColor="text1"/>
        </w:rPr>
        <w:t>].</w:t>
      </w:r>
    </w:p>
    <w:p w14:paraId="413F16AF" w14:textId="2B198B04" w:rsidR="009A1A0E" w:rsidRPr="00497E99" w:rsidRDefault="009A1A0E" w:rsidP="009A1A0E">
      <w:pPr>
        <w:pStyle w:val="a"/>
        <w:rPr>
          <w:b/>
          <w:bCs/>
          <w:color w:val="000000" w:themeColor="text1"/>
        </w:rPr>
      </w:pPr>
      <w:r w:rsidRPr="00497E99">
        <w:rPr>
          <w:color w:val="000000" w:themeColor="text1"/>
        </w:rPr>
        <w:t xml:space="preserve">У пациентов с </w:t>
      </w:r>
      <w:r w:rsidR="0078748D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 повторное контрольное эндоскопическое исследование/вмешательство рекомендуется выполнить при неполноценном первичном осмотре и</w:t>
      </w:r>
      <w:r w:rsidR="0078748D">
        <w:rPr>
          <w:color w:val="000000" w:themeColor="text1"/>
        </w:rPr>
        <w:t>ли при рецидиве</w:t>
      </w:r>
      <w:r w:rsidRPr="00497E99">
        <w:rPr>
          <w:color w:val="000000" w:themeColor="text1"/>
        </w:rPr>
        <w:t xml:space="preserve"> кровотечения [</w:t>
      </w:r>
      <w:r w:rsidR="009F2B5D" w:rsidRPr="00497E99">
        <w:rPr>
          <w:color w:val="000000" w:themeColor="text1"/>
        </w:rPr>
        <w:t>85, 86</w:t>
      </w:r>
      <w:r w:rsidRPr="00497E99">
        <w:rPr>
          <w:color w:val="000000" w:themeColor="text1"/>
        </w:rPr>
        <w:t>].</w:t>
      </w:r>
      <w:bookmarkStart w:id="62" w:name="_Toc146491615"/>
    </w:p>
    <w:p w14:paraId="21502BB8" w14:textId="77777777" w:rsidR="00A52714" w:rsidRDefault="00A52714" w:rsidP="009A1A0E">
      <w:pPr>
        <w:rPr>
          <w:color w:val="000000" w:themeColor="text1"/>
        </w:rPr>
      </w:pPr>
    </w:p>
    <w:bookmarkEnd w:id="62"/>
    <w:p w14:paraId="57066787" w14:textId="3BFA65CC" w:rsidR="00A52714" w:rsidRPr="002F4478" w:rsidRDefault="00A52714" w:rsidP="00A52714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 xml:space="preserve">Уровень убедительности рекомендаций </w:t>
      </w:r>
      <w:r>
        <w:rPr>
          <w:b/>
          <w:i w:val="0"/>
          <w:iCs w:val="0"/>
        </w:rPr>
        <w:t>В</w:t>
      </w:r>
      <w:r w:rsidRPr="002F4478">
        <w:rPr>
          <w:b/>
          <w:i w:val="0"/>
          <w:iCs w:val="0"/>
        </w:rPr>
        <w:t xml:space="preserve"> (уровень достоверности доказательств – </w:t>
      </w:r>
      <w:r>
        <w:rPr>
          <w:b/>
          <w:i w:val="0"/>
          <w:iCs w:val="0"/>
        </w:rPr>
        <w:t>1</w:t>
      </w:r>
      <w:r w:rsidRPr="002F4478">
        <w:rPr>
          <w:b/>
          <w:i w:val="0"/>
          <w:iCs w:val="0"/>
        </w:rPr>
        <w:t>)</w:t>
      </w:r>
    </w:p>
    <w:p w14:paraId="7FE565D6" w14:textId="573B084A" w:rsidR="00B86304" w:rsidRPr="0078748D" w:rsidRDefault="009A1A0E" w:rsidP="0078748D">
      <w:pPr>
        <w:pStyle w:val="aff2"/>
        <w:rPr>
          <w:color w:val="000000" w:themeColor="text1"/>
        </w:rPr>
      </w:pPr>
      <w:r w:rsidRPr="00497E99">
        <w:rPr>
          <w:b/>
          <w:i w:val="0"/>
          <w:iCs w:val="0"/>
          <w:color w:val="000000" w:themeColor="text1"/>
        </w:rPr>
        <w:t>Комментарии:</w:t>
      </w:r>
      <w:r w:rsidRPr="00497E99">
        <w:rPr>
          <w:b/>
          <w:color w:val="000000" w:themeColor="text1"/>
        </w:rPr>
        <w:t xml:space="preserve"> </w:t>
      </w:r>
      <w:r w:rsidRPr="00497E99">
        <w:rPr>
          <w:color w:val="000000" w:themeColor="text1"/>
        </w:rPr>
        <w:t xml:space="preserve">Рутинное выполнение контрольного эндоскопического исследования у всех пациентов с </w:t>
      </w:r>
      <w:r w:rsidR="0078748D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 нецелесообразно. При неполноценном первичном осмотре повторное эндоскопическое исследование рекомендуется выполнить в ближайшие часы после первой ЭГДС. [</w:t>
      </w:r>
      <w:r w:rsidR="00B469F2" w:rsidRPr="00497E99">
        <w:rPr>
          <w:color w:val="000000" w:themeColor="text1"/>
        </w:rPr>
        <w:t>85</w:t>
      </w:r>
      <w:r w:rsidRPr="00497E99">
        <w:rPr>
          <w:color w:val="000000" w:themeColor="text1"/>
        </w:rPr>
        <w:t>,</w:t>
      </w:r>
      <w:r w:rsidR="00B469F2" w:rsidRPr="00497E99">
        <w:rPr>
          <w:color w:val="000000" w:themeColor="text1"/>
        </w:rPr>
        <w:t xml:space="preserve"> 86</w:t>
      </w:r>
      <w:r w:rsidR="0078748D">
        <w:rPr>
          <w:color w:val="000000" w:themeColor="text1"/>
        </w:rPr>
        <w:t xml:space="preserve">]. </w:t>
      </w:r>
    </w:p>
    <w:p w14:paraId="38990780" w14:textId="752CCAE2" w:rsidR="009A1A0E" w:rsidRPr="00497E99" w:rsidRDefault="009A1A0E" w:rsidP="00497E99">
      <w:pPr>
        <w:pStyle w:val="4"/>
        <w:spacing w:line="360" w:lineRule="auto"/>
        <w:rPr>
          <w:color w:val="000000" w:themeColor="text1"/>
        </w:rPr>
      </w:pPr>
      <w:r w:rsidRPr="00497E99">
        <w:rPr>
          <w:color w:val="000000" w:themeColor="text1"/>
        </w:rPr>
        <w:t xml:space="preserve">Диета и медикаментозная терапия пациентов </w:t>
      </w:r>
      <w:r w:rsidR="0078748D">
        <w:rPr>
          <w:color w:val="000000" w:themeColor="text1"/>
        </w:rPr>
        <w:t>с СМВ, осложненным кровотечением:</w:t>
      </w:r>
    </w:p>
    <w:p w14:paraId="61C186C0" w14:textId="77777777" w:rsidR="009A1A0E" w:rsidRPr="00497E99" w:rsidRDefault="009A1A0E" w:rsidP="00497E99">
      <w:pPr>
        <w:pStyle w:val="a"/>
        <w:rPr>
          <w:b/>
          <w:bCs/>
          <w:color w:val="000000" w:themeColor="text1"/>
        </w:rPr>
      </w:pPr>
      <w:r w:rsidRPr="00497E99">
        <w:rPr>
          <w:color w:val="000000" w:themeColor="text1"/>
        </w:rPr>
        <w:t>Пациентам с высоким риском рецидива кровотечения после его эндоскопической остановки/профилактики рекомендуется введение ИПН тотчас после выполнения эндоскопического гемостаза [1</w:t>
      </w:r>
      <w:r w:rsidR="00B469F2" w:rsidRPr="00497E99">
        <w:rPr>
          <w:color w:val="000000" w:themeColor="text1"/>
        </w:rPr>
        <w:t xml:space="preserve">3, 19, </w:t>
      </w:r>
      <w:proofErr w:type="gramStart"/>
      <w:r w:rsidR="00B469F2" w:rsidRPr="00497E99">
        <w:rPr>
          <w:color w:val="000000" w:themeColor="text1"/>
        </w:rPr>
        <w:t>23,  81</w:t>
      </w:r>
      <w:proofErr w:type="gramEnd"/>
      <w:r w:rsidRPr="00497E99">
        <w:rPr>
          <w:color w:val="000000" w:themeColor="text1"/>
        </w:rPr>
        <w:t>].</w:t>
      </w:r>
    </w:p>
    <w:p w14:paraId="3AF2EFB8" w14:textId="6E707E56" w:rsidR="00A52714" w:rsidRPr="002F4478" w:rsidRDefault="00A52714" w:rsidP="00A52714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 xml:space="preserve">Уровень убедительности рекомендаций </w:t>
      </w:r>
      <w:r>
        <w:rPr>
          <w:b/>
          <w:i w:val="0"/>
          <w:iCs w:val="0"/>
        </w:rPr>
        <w:t>А</w:t>
      </w:r>
      <w:r w:rsidRPr="002F4478">
        <w:rPr>
          <w:b/>
          <w:i w:val="0"/>
          <w:iCs w:val="0"/>
        </w:rPr>
        <w:t xml:space="preserve"> (уровень достоверности доказательств – </w:t>
      </w:r>
      <w:r>
        <w:rPr>
          <w:b/>
          <w:i w:val="0"/>
          <w:iCs w:val="0"/>
        </w:rPr>
        <w:t>1</w:t>
      </w:r>
      <w:r w:rsidRPr="002F4478">
        <w:rPr>
          <w:b/>
          <w:i w:val="0"/>
          <w:iCs w:val="0"/>
        </w:rPr>
        <w:t>)</w:t>
      </w:r>
    </w:p>
    <w:p w14:paraId="54B1723C" w14:textId="57093E7D" w:rsidR="009A1A0E" w:rsidRPr="00497E99" w:rsidRDefault="009A1A0E" w:rsidP="00693C23">
      <w:pPr>
        <w:pStyle w:val="aff2"/>
        <w:rPr>
          <w:b/>
          <w:bCs w:val="0"/>
          <w:color w:val="000000" w:themeColor="text1"/>
        </w:rPr>
      </w:pPr>
      <w:r w:rsidRPr="00497E99">
        <w:rPr>
          <w:b/>
          <w:i w:val="0"/>
          <w:iCs w:val="0"/>
          <w:color w:val="000000" w:themeColor="text1"/>
        </w:rPr>
        <w:t>Комментарии</w:t>
      </w:r>
      <w:proofErr w:type="gramStart"/>
      <w:r w:rsidRPr="00497E99">
        <w:rPr>
          <w:b/>
          <w:i w:val="0"/>
          <w:iCs w:val="0"/>
          <w:color w:val="000000" w:themeColor="text1"/>
        </w:rPr>
        <w:t>:</w:t>
      </w:r>
      <w:r w:rsidRPr="00497E99">
        <w:rPr>
          <w:b/>
          <w:color w:val="000000" w:themeColor="text1"/>
        </w:rPr>
        <w:t xml:space="preserve"> </w:t>
      </w:r>
      <w:r w:rsidRPr="00497E99">
        <w:rPr>
          <w:color w:val="000000" w:themeColor="text1"/>
        </w:rPr>
        <w:t>Необходимо</w:t>
      </w:r>
      <w:proofErr w:type="gramEnd"/>
      <w:r w:rsidRPr="00497E99">
        <w:rPr>
          <w:color w:val="000000" w:themeColor="text1"/>
        </w:rPr>
        <w:t xml:space="preserve"> внутривенное введение ИПН в дозировке 80 мг </w:t>
      </w:r>
      <w:proofErr w:type="spellStart"/>
      <w:r w:rsidRPr="00497E99">
        <w:rPr>
          <w:color w:val="000000" w:themeColor="text1"/>
        </w:rPr>
        <w:t>болюсно</w:t>
      </w:r>
      <w:proofErr w:type="spellEnd"/>
      <w:r w:rsidRPr="00497E99">
        <w:rPr>
          <w:color w:val="000000" w:themeColor="text1"/>
        </w:rPr>
        <w:t xml:space="preserve"> и затем непрерывно по 8 мг в час в течение 72 часов, что снижает количество рецидивов кровотечений и летальность [</w:t>
      </w:r>
      <w:r w:rsidR="00B469F2" w:rsidRPr="00497E99">
        <w:rPr>
          <w:color w:val="000000" w:themeColor="text1"/>
        </w:rPr>
        <w:t>19</w:t>
      </w:r>
      <w:r w:rsidRPr="00497E99">
        <w:rPr>
          <w:color w:val="000000" w:themeColor="text1"/>
        </w:rPr>
        <w:t xml:space="preserve">]. Пациентам с </w:t>
      </w:r>
      <w:r w:rsidR="0078748D">
        <w:rPr>
          <w:color w:val="000000" w:themeColor="text1"/>
        </w:rPr>
        <w:t>СМВ</w:t>
      </w:r>
      <w:r w:rsidRPr="00497E99">
        <w:rPr>
          <w:color w:val="000000" w:themeColor="text1"/>
        </w:rPr>
        <w:t>, которые исходно получали ИПН в парентеральной форме, рекомендуется перевод на пероральные формы через 72 часа от начала терапии [1</w:t>
      </w:r>
      <w:r w:rsidR="00B469F2" w:rsidRPr="00497E99">
        <w:rPr>
          <w:color w:val="000000" w:themeColor="text1"/>
        </w:rPr>
        <w:t>3, 19, 23</w:t>
      </w:r>
      <w:r w:rsidRPr="00497E99">
        <w:rPr>
          <w:color w:val="000000" w:themeColor="text1"/>
        </w:rPr>
        <w:t>].</w:t>
      </w:r>
      <w:r w:rsidR="00C061DE" w:rsidRPr="00497E99">
        <w:rPr>
          <w:color w:val="000000" w:themeColor="text1"/>
        </w:rPr>
        <w:t xml:space="preserve"> </w:t>
      </w:r>
      <w:r w:rsidRPr="00497E99">
        <w:rPr>
          <w:color w:val="000000" w:themeColor="text1"/>
        </w:rPr>
        <w:t xml:space="preserve">Пациентам с </w:t>
      </w:r>
      <w:r w:rsidR="0078748D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 с низким риском рецидива кровотечения рекомендуется парентеральное введение ИПН после выполнения эндоскопии в течение 72 часов с последующим переходом на пероральные формы вплоть до выписки из стационара и далее до полного заживления </w:t>
      </w:r>
      <w:r w:rsidR="00A33178">
        <w:rPr>
          <w:color w:val="000000" w:themeColor="text1"/>
        </w:rPr>
        <w:t>разрыва</w:t>
      </w:r>
      <w:r w:rsidRPr="00497E99">
        <w:rPr>
          <w:color w:val="000000" w:themeColor="text1"/>
        </w:rPr>
        <w:t xml:space="preserve"> – источника перенесенного кровотечения [1</w:t>
      </w:r>
      <w:r w:rsidR="00B469F2" w:rsidRPr="00497E99">
        <w:rPr>
          <w:color w:val="000000" w:themeColor="text1"/>
        </w:rPr>
        <w:t>3, 19, 23</w:t>
      </w:r>
      <w:r w:rsidRPr="00497E99">
        <w:rPr>
          <w:color w:val="000000" w:themeColor="text1"/>
        </w:rPr>
        <w:t>].</w:t>
      </w:r>
    </w:p>
    <w:p w14:paraId="3ECB5844" w14:textId="27E4142A" w:rsidR="009A1A0E" w:rsidRPr="00497E99" w:rsidRDefault="009A1A0E" w:rsidP="009A1A0E">
      <w:pPr>
        <w:pStyle w:val="aff2"/>
        <w:rPr>
          <w:color w:val="000000" w:themeColor="text1"/>
        </w:rPr>
      </w:pPr>
      <w:r w:rsidRPr="00497E99">
        <w:rPr>
          <w:b/>
          <w:i w:val="0"/>
          <w:iCs w:val="0"/>
          <w:color w:val="000000" w:themeColor="text1"/>
        </w:rPr>
        <w:t>Комментарии:</w:t>
      </w:r>
      <w:r w:rsidRPr="00497E99">
        <w:rPr>
          <w:b/>
          <w:color w:val="000000" w:themeColor="text1"/>
        </w:rPr>
        <w:t xml:space="preserve"> </w:t>
      </w:r>
      <w:r w:rsidRPr="00497E99">
        <w:rPr>
          <w:color w:val="000000" w:themeColor="text1"/>
        </w:rPr>
        <w:t xml:space="preserve">Пациентам с низким риском рецидива кровотечения переход на </w:t>
      </w:r>
      <w:proofErr w:type="spellStart"/>
      <w:r w:rsidRPr="00497E99">
        <w:rPr>
          <w:color w:val="000000" w:themeColor="text1"/>
        </w:rPr>
        <w:t>энтеральное</w:t>
      </w:r>
      <w:proofErr w:type="spellEnd"/>
      <w:r w:rsidRPr="00497E99">
        <w:rPr>
          <w:color w:val="000000" w:themeColor="text1"/>
        </w:rPr>
        <w:t xml:space="preserve"> питание возможен в ближайшие часы после завершения эндоскопического вмешательства [1</w:t>
      </w:r>
      <w:r w:rsidR="00B469F2" w:rsidRPr="00497E99">
        <w:rPr>
          <w:color w:val="000000" w:themeColor="text1"/>
        </w:rPr>
        <w:t>3, 19, 23</w:t>
      </w:r>
      <w:r w:rsidRPr="00497E99">
        <w:rPr>
          <w:color w:val="000000" w:themeColor="text1"/>
        </w:rPr>
        <w:t>].</w:t>
      </w:r>
      <w:r w:rsidRPr="00497E99">
        <w:rPr>
          <w:b/>
          <w:color w:val="000000" w:themeColor="text1"/>
        </w:rPr>
        <w:t xml:space="preserve"> </w:t>
      </w:r>
      <w:r w:rsidRPr="00497E99">
        <w:rPr>
          <w:color w:val="000000" w:themeColor="text1"/>
        </w:rPr>
        <w:t xml:space="preserve">Пациентам с высоким риском рецидива кровотечения разрешается пить и принимать жидкую </w:t>
      </w:r>
      <w:r w:rsidR="00693C23">
        <w:rPr>
          <w:color w:val="000000" w:themeColor="text1"/>
        </w:rPr>
        <w:t>не ранее чем через 24 часа</w:t>
      </w:r>
      <w:r w:rsidRPr="00497E99">
        <w:rPr>
          <w:color w:val="000000" w:themeColor="text1"/>
        </w:rPr>
        <w:t xml:space="preserve"> после остановки кровотечения [</w:t>
      </w:r>
      <w:r w:rsidR="004B5AAF" w:rsidRPr="00497E99">
        <w:rPr>
          <w:color w:val="000000" w:themeColor="text1"/>
        </w:rPr>
        <w:t>87</w:t>
      </w:r>
      <w:r w:rsidRPr="00497E99">
        <w:rPr>
          <w:color w:val="000000" w:themeColor="text1"/>
        </w:rPr>
        <w:t xml:space="preserve">]. </w:t>
      </w:r>
    </w:p>
    <w:p w14:paraId="26DCC55D" w14:textId="1517C319" w:rsidR="009A1A0E" w:rsidRPr="00497E99" w:rsidRDefault="009A1A0E" w:rsidP="009A1A0E">
      <w:pPr>
        <w:pStyle w:val="a"/>
        <w:rPr>
          <w:color w:val="000000" w:themeColor="text1"/>
        </w:rPr>
      </w:pPr>
      <w:r w:rsidRPr="00497E99">
        <w:rPr>
          <w:color w:val="000000" w:themeColor="text1"/>
        </w:rPr>
        <w:t xml:space="preserve">Всем пациентам с </w:t>
      </w:r>
      <w:r w:rsidR="00A33178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 при подтверждении наличия </w:t>
      </w:r>
      <w:proofErr w:type="spellStart"/>
      <w:r w:rsidRPr="00497E99">
        <w:rPr>
          <w:color w:val="000000" w:themeColor="text1"/>
        </w:rPr>
        <w:t>Hp</w:t>
      </w:r>
      <w:proofErr w:type="spellEnd"/>
      <w:r w:rsidRPr="00497E99">
        <w:rPr>
          <w:color w:val="000000" w:themeColor="text1"/>
        </w:rPr>
        <w:t xml:space="preserve">-инфекции рекомендуется проводить </w:t>
      </w:r>
      <w:proofErr w:type="spellStart"/>
      <w:r w:rsidRPr="00497E99">
        <w:rPr>
          <w:color w:val="000000" w:themeColor="text1"/>
        </w:rPr>
        <w:t>эрадикационную</w:t>
      </w:r>
      <w:proofErr w:type="spellEnd"/>
      <w:r w:rsidRPr="00497E99">
        <w:rPr>
          <w:color w:val="000000" w:themeColor="text1"/>
        </w:rPr>
        <w:t xml:space="preserve"> терапию с подтверждением проведенной эрадикации [1,2, 3].</w:t>
      </w:r>
    </w:p>
    <w:p w14:paraId="0F45BAF6" w14:textId="77777777" w:rsidR="00A52714" w:rsidRDefault="00A52714" w:rsidP="009A1A0E">
      <w:pPr>
        <w:rPr>
          <w:color w:val="000000" w:themeColor="text1"/>
        </w:rPr>
      </w:pPr>
    </w:p>
    <w:p w14:paraId="01223009" w14:textId="6084F62B" w:rsidR="00A52714" w:rsidRPr="002F4478" w:rsidRDefault="00A52714" w:rsidP="00A52714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 xml:space="preserve">Уровень убедительности рекомендаций </w:t>
      </w:r>
      <w:r>
        <w:rPr>
          <w:b/>
          <w:i w:val="0"/>
          <w:iCs w:val="0"/>
        </w:rPr>
        <w:t>С</w:t>
      </w:r>
      <w:r w:rsidRPr="002F4478">
        <w:rPr>
          <w:b/>
          <w:i w:val="0"/>
          <w:iCs w:val="0"/>
        </w:rPr>
        <w:t xml:space="preserve"> (уровень достоверности доказательств – </w:t>
      </w:r>
      <w:r>
        <w:rPr>
          <w:b/>
          <w:i w:val="0"/>
          <w:iCs w:val="0"/>
        </w:rPr>
        <w:t>5</w:t>
      </w:r>
      <w:r w:rsidRPr="002F4478">
        <w:rPr>
          <w:b/>
          <w:i w:val="0"/>
          <w:iCs w:val="0"/>
        </w:rPr>
        <w:t>)</w:t>
      </w:r>
    </w:p>
    <w:p w14:paraId="66A022CC" w14:textId="7779FF5F" w:rsidR="009A1A0E" w:rsidRPr="00497E99" w:rsidRDefault="009A1A0E" w:rsidP="009A1A0E">
      <w:pPr>
        <w:pStyle w:val="aff2"/>
        <w:rPr>
          <w:color w:val="000000" w:themeColor="text1"/>
        </w:rPr>
      </w:pPr>
      <w:r w:rsidRPr="00497E99">
        <w:rPr>
          <w:b/>
          <w:i w:val="0"/>
          <w:iCs w:val="0"/>
          <w:color w:val="000000" w:themeColor="text1"/>
        </w:rPr>
        <w:t>Комментарии:</w:t>
      </w:r>
      <w:r w:rsidRPr="00497E99">
        <w:rPr>
          <w:b/>
          <w:color w:val="000000" w:themeColor="text1"/>
        </w:rPr>
        <w:t xml:space="preserve"> </w:t>
      </w:r>
      <w:proofErr w:type="spellStart"/>
      <w:r w:rsidRPr="00497E99">
        <w:rPr>
          <w:color w:val="000000" w:themeColor="text1"/>
        </w:rPr>
        <w:t>Эрадикационная</w:t>
      </w:r>
      <w:proofErr w:type="spellEnd"/>
      <w:r w:rsidRPr="00497E99">
        <w:rPr>
          <w:color w:val="000000" w:themeColor="text1"/>
        </w:rPr>
        <w:t xml:space="preserve"> терапия начинается после перевода пациентов на пероральный прием ИПН [</w:t>
      </w:r>
      <w:r w:rsidR="00A83986" w:rsidRPr="00497E99">
        <w:rPr>
          <w:color w:val="000000" w:themeColor="text1"/>
        </w:rPr>
        <w:t>161</w:t>
      </w:r>
      <w:r w:rsidRPr="00497E99">
        <w:rPr>
          <w:color w:val="000000" w:themeColor="text1"/>
        </w:rPr>
        <w:t>].</w:t>
      </w:r>
      <w:r w:rsidR="00B86304">
        <w:rPr>
          <w:color w:val="000000" w:themeColor="text1"/>
        </w:rPr>
        <w:t xml:space="preserve"> Успешная эрадикация </w:t>
      </w:r>
      <w:r w:rsidR="001B04B0">
        <w:rPr>
          <w:color w:val="000000" w:themeColor="text1"/>
        </w:rPr>
        <w:t>зна</w:t>
      </w:r>
      <w:r w:rsidR="00B86304">
        <w:rPr>
          <w:color w:val="000000" w:themeColor="text1"/>
        </w:rPr>
        <w:t xml:space="preserve">чительно снижает риск возникновения </w:t>
      </w:r>
      <w:r w:rsidR="001B04B0">
        <w:rPr>
          <w:color w:val="000000" w:themeColor="text1"/>
        </w:rPr>
        <w:t xml:space="preserve">рецидивов </w:t>
      </w:r>
      <w:r w:rsidR="00A33178">
        <w:rPr>
          <w:color w:val="000000" w:themeColor="text1"/>
        </w:rPr>
        <w:t>кровотечения</w:t>
      </w:r>
      <w:r w:rsidR="00B86304">
        <w:rPr>
          <w:color w:val="000000" w:themeColor="text1"/>
        </w:rPr>
        <w:t xml:space="preserve"> [162, 166].</w:t>
      </w:r>
    </w:p>
    <w:p w14:paraId="2863E92B" w14:textId="77777777" w:rsidR="009A1A0E" w:rsidRPr="00497E99" w:rsidRDefault="009A1A0E" w:rsidP="00691FB6">
      <w:pPr>
        <w:pStyle w:val="4"/>
        <w:spacing w:line="360" w:lineRule="auto"/>
        <w:rPr>
          <w:color w:val="000000" w:themeColor="text1"/>
        </w:rPr>
      </w:pPr>
      <w:bookmarkStart w:id="63" w:name="_Toc146491619"/>
      <w:r w:rsidRPr="00497E99">
        <w:rPr>
          <w:color w:val="000000" w:themeColor="text1"/>
        </w:rPr>
        <w:t xml:space="preserve"> </w:t>
      </w:r>
      <w:r w:rsidR="009E3CF8" w:rsidRPr="00497E99">
        <w:rPr>
          <w:color w:val="000000" w:themeColor="text1"/>
        </w:rPr>
        <w:t>3.</w:t>
      </w:r>
      <w:r w:rsidR="00174CBA">
        <w:rPr>
          <w:color w:val="000000" w:themeColor="text1"/>
        </w:rPr>
        <w:t>4</w:t>
      </w:r>
      <w:r w:rsidR="001377BD" w:rsidRPr="00497E99">
        <w:rPr>
          <w:color w:val="000000" w:themeColor="text1"/>
        </w:rPr>
        <w:t xml:space="preserve">. </w:t>
      </w:r>
      <w:r w:rsidRPr="00497E99">
        <w:rPr>
          <w:color w:val="000000" w:themeColor="text1"/>
        </w:rPr>
        <w:t>Эндоваскулярное лечение</w:t>
      </w:r>
      <w:bookmarkEnd w:id="63"/>
    </w:p>
    <w:p w14:paraId="1BF4D02B" w14:textId="0144A49C" w:rsidR="009A1A0E" w:rsidRPr="00497E99" w:rsidRDefault="009A1A0E" w:rsidP="00691FB6">
      <w:pPr>
        <w:pStyle w:val="a"/>
        <w:rPr>
          <w:color w:val="000000" w:themeColor="text1"/>
        </w:rPr>
      </w:pPr>
      <w:r w:rsidRPr="00497E99">
        <w:rPr>
          <w:color w:val="000000" w:themeColor="text1"/>
        </w:rPr>
        <w:t>Пациентам при неоднократно рецидивирующих</w:t>
      </w:r>
      <w:r w:rsidR="00A33178">
        <w:rPr>
          <w:color w:val="000000" w:themeColor="text1"/>
        </w:rPr>
        <w:t xml:space="preserve"> кровотечениях при</w:t>
      </w:r>
      <w:r w:rsidRPr="00497E99">
        <w:rPr>
          <w:color w:val="000000" w:themeColor="text1"/>
        </w:rPr>
        <w:t xml:space="preserve"> </w:t>
      </w:r>
      <w:r w:rsidR="00A33178">
        <w:rPr>
          <w:color w:val="000000" w:themeColor="text1"/>
        </w:rPr>
        <w:t>СМВ</w:t>
      </w:r>
      <w:r w:rsidRPr="00497E99">
        <w:rPr>
          <w:color w:val="000000" w:themeColor="text1"/>
        </w:rPr>
        <w:t xml:space="preserve">, резистентных к эндоскопическому и медикаментозному гемостазу, рекомендуется </w:t>
      </w:r>
      <w:r w:rsidR="00A33178">
        <w:rPr>
          <w:color w:val="000000" w:themeColor="text1"/>
        </w:rPr>
        <w:t xml:space="preserve">рассмотреть вопрос о возможной </w:t>
      </w:r>
      <w:r w:rsidRPr="00497E99">
        <w:rPr>
          <w:color w:val="000000" w:themeColor="text1"/>
        </w:rPr>
        <w:t>эндоваскулярн</w:t>
      </w:r>
      <w:r w:rsidR="00A33178">
        <w:rPr>
          <w:color w:val="000000" w:themeColor="text1"/>
        </w:rPr>
        <w:t>ой</w:t>
      </w:r>
      <w:r w:rsidRPr="00497E99">
        <w:rPr>
          <w:color w:val="000000" w:themeColor="text1"/>
        </w:rPr>
        <w:t xml:space="preserve"> эмболизаци</w:t>
      </w:r>
      <w:r w:rsidR="00A33178">
        <w:rPr>
          <w:color w:val="000000" w:themeColor="text1"/>
        </w:rPr>
        <w:t>и</w:t>
      </w:r>
      <w:r w:rsidRPr="00497E99">
        <w:rPr>
          <w:color w:val="000000" w:themeColor="text1"/>
        </w:rPr>
        <w:t xml:space="preserve"> артерий желудка (A16.12.051), как альтернатива хирургическому лечению [1</w:t>
      </w:r>
      <w:r w:rsidR="00D038C1" w:rsidRPr="00497E99">
        <w:rPr>
          <w:color w:val="000000" w:themeColor="text1"/>
        </w:rPr>
        <w:t>3, 19</w:t>
      </w:r>
      <w:r w:rsidRPr="00497E99">
        <w:rPr>
          <w:color w:val="000000" w:themeColor="text1"/>
        </w:rPr>
        <w:t>,</w:t>
      </w:r>
      <w:r w:rsidR="00D038C1" w:rsidRPr="00497E99">
        <w:rPr>
          <w:color w:val="000000" w:themeColor="text1"/>
        </w:rPr>
        <w:t xml:space="preserve"> </w:t>
      </w:r>
      <w:r w:rsidR="000618F2" w:rsidRPr="00497E99">
        <w:rPr>
          <w:color w:val="000000" w:themeColor="text1"/>
        </w:rPr>
        <w:t>8</w:t>
      </w:r>
      <w:r w:rsidR="005106DD" w:rsidRPr="00497E99">
        <w:rPr>
          <w:color w:val="000000" w:themeColor="text1"/>
        </w:rPr>
        <w:t>9</w:t>
      </w:r>
      <w:r w:rsidR="000618F2" w:rsidRPr="00497E99">
        <w:rPr>
          <w:color w:val="000000" w:themeColor="text1"/>
        </w:rPr>
        <w:t xml:space="preserve">, </w:t>
      </w:r>
      <w:r w:rsidR="005106DD" w:rsidRPr="00497E99">
        <w:rPr>
          <w:color w:val="000000" w:themeColor="text1"/>
        </w:rPr>
        <w:t>90</w:t>
      </w:r>
      <w:r w:rsidR="000618F2" w:rsidRPr="00497E99">
        <w:rPr>
          <w:color w:val="000000" w:themeColor="text1"/>
        </w:rPr>
        <w:t>, 9</w:t>
      </w:r>
      <w:r w:rsidR="005106DD" w:rsidRPr="00497E99">
        <w:rPr>
          <w:color w:val="000000" w:themeColor="text1"/>
        </w:rPr>
        <w:t>1</w:t>
      </w:r>
      <w:r w:rsidR="000618F2" w:rsidRPr="00497E99">
        <w:rPr>
          <w:color w:val="000000" w:themeColor="text1"/>
        </w:rPr>
        <w:t>, 9</w:t>
      </w:r>
      <w:r w:rsidR="005106DD" w:rsidRPr="00497E99">
        <w:rPr>
          <w:color w:val="000000" w:themeColor="text1"/>
        </w:rPr>
        <w:t>2</w:t>
      </w:r>
      <w:r w:rsidRPr="00497E99">
        <w:rPr>
          <w:color w:val="000000" w:themeColor="text1"/>
        </w:rPr>
        <w:t>].</w:t>
      </w:r>
      <w:bookmarkStart w:id="64" w:name="_Toc146491620"/>
    </w:p>
    <w:p w14:paraId="3603F99C" w14:textId="77777777" w:rsidR="00960A49" w:rsidRDefault="00960A49" w:rsidP="009A1A0E">
      <w:pPr>
        <w:rPr>
          <w:color w:val="000000" w:themeColor="text1"/>
        </w:rPr>
      </w:pPr>
    </w:p>
    <w:p w14:paraId="518BA060" w14:textId="25F53D0F" w:rsidR="00960A49" w:rsidRPr="002F4478" w:rsidRDefault="00960A49" w:rsidP="00960A49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 xml:space="preserve">Уровень убедительности рекомендаций </w:t>
      </w:r>
      <w:r>
        <w:rPr>
          <w:b/>
          <w:i w:val="0"/>
          <w:iCs w:val="0"/>
        </w:rPr>
        <w:t>С</w:t>
      </w:r>
      <w:r w:rsidRPr="002F4478">
        <w:rPr>
          <w:b/>
          <w:i w:val="0"/>
          <w:iCs w:val="0"/>
        </w:rPr>
        <w:t xml:space="preserve"> (уровень достоверности доказательств – </w:t>
      </w:r>
      <w:r>
        <w:rPr>
          <w:b/>
          <w:i w:val="0"/>
          <w:iCs w:val="0"/>
        </w:rPr>
        <w:t>4</w:t>
      </w:r>
      <w:r w:rsidRPr="002F4478">
        <w:rPr>
          <w:b/>
          <w:i w:val="0"/>
          <w:iCs w:val="0"/>
        </w:rPr>
        <w:t>)</w:t>
      </w:r>
    </w:p>
    <w:p w14:paraId="5AFBE185" w14:textId="77777777" w:rsidR="00A33178" w:rsidRDefault="00A33178" w:rsidP="001B04B0">
      <w:pPr>
        <w:pStyle w:val="4"/>
        <w:spacing w:line="360" w:lineRule="auto"/>
        <w:rPr>
          <w:color w:val="000000" w:themeColor="text1"/>
        </w:rPr>
      </w:pPr>
      <w:bookmarkStart w:id="65" w:name="_Toc146491621"/>
      <w:bookmarkEnd w:id="64"/>
    </w:p>
    <w:p w14:paraId="21BE9593" w14:textId="416BADEB" w:rsidR="00964D3C" w:rsidRPr="001B04B0" w:rsidRDefault="009E3CF8" w:rsidP="001B04B0">
      <w:pPr>
        <w:pStyle w:val="4"/>
        <w:spacing w:line="360" w:lineRule="auto"/>
        <w:rPr>
          <w:color w:val="000000" w:themeColor="text1"/>
        </w:rPr>
      </w:pPr>
      <w:r w:rsidRPr="00497E99">
        <w:rPr>
          <w:color w:val="000000" w:themeColor="text1"/>
        </w:rPr>
        <w:t>3.</w:t>
      </w:r>
      <w:r w:rsidR="00174CBA">
        <w:rPr>
          <w:color w:val="000000" w:themeColor="text1"/>
        </w:rPr>
        <w:t>5</w:t>
      </w:r>
      <w:r w:rsidRPr="00497E99">
        <w:rPr>
          <w:color w:val="000000" w:themeColor="text1"/>
        </w:rPr>
        <w:t xml:space="preserve"> </w:t>
      </w:r>
      <w:r w:rsidR="009A1A0E" w:rsidRPr="00497E99">
        <w:rPr>
          <w:color w:val="000000" w:themeColor="text1"/>
        </w:rPr>
        <w:t>Хирургическое лечение</w:t>
      </w:r>
      <w:bookmarkEnd w:id="65"/>
    </w:p>
    <w:p w14:paraId="277CE133" w14:textId="77777777" w:rsidR="00964D3C" w:rsidRPr="00964D3C" w:rsidRDefault="00964D3C" w:rsidP="00964D3C"/>
    <w:p w14:paraId="0C98ABC6" w14:textId="2CB49701" w:rsidR="009A1A0E" w:rsidRPr="00174CBA" w:rsidRDefault="009A1A0E" w:rsidP="0061287D">
      <w:pPr>
        <w:pStyle w:val="a"/>
        <w:rPr>
          <w:color w:val="000000" w:themeColor="text1"/>
        </w:rPr>
      </w:pPr>
      <w:r w:rsidRPr="00174CBA">
        <w:rPr>
          <w:color w:val="000000" w:themeColor="text1"/>
        </w:rPr>
        <w:t xml:space="preserve">Пациентам с продолжающимся </w:t>
      </w:r>
      <w:r w:rsidR="00A33178">
        <w:rPr>
          <w:color w:val="000000" w:themeColor="text1"/>
        </w:rPr>
        <w:t xml:space="preserve">или неоднократно рецидивирующем </w:t>
      </w:r>
      <w:r w:rsidRPr="00174CBA">
        <w:rPr>
          <w:color w:val="000000" w:themeColor="text1"/>
        </w:rPr>
        <w:t>кровотечением при неэффективности (или невозможнос</w:t>
      </w:r>
      <w:r w:rsidR="00A33178">
        <w:rPr>
          <w:color w:val="000000" w:themeColor="text1"/>
        </w:rPr>
        <w:t xml:space="preserve">ти) эндоскопического гемостаза рекомендуется оперативное лечение </w:t>
      </w:r>
      <w:r w:rsidRPr="00174CBA">
        <w:rPr>
          <w:color w:val="000000" w:themeColor="text1"/>
          <w:sz w:val="22"/>
        </w:rPr>
        <w:t>[</w:t>
      </w:r>
      <w:r w:rsidRPr="00174CBA">
        <w:rPr>
          <w:color w:val="000000" w:themeColor="text1"/>
        </w:rPr>
        <w:t>1</w:t>
      </w:r>
      <w:r w:rsidR="00EE24BB" w:rsidRPr="00174CBA">
        <w:rPr>
          <w:color w:val="000000" w:themeColor="text1"/>
        </w:rPr>
        <w:t>3,</w:t>
      </w:r>
      <w:r w:rsidR="00B14C63" w:rsidRPr="00174CBA">
        <w:rPr>
          <w:color w:val="000000" w:themeColor="text1"/>
        </w:rPr>
        <w:t xml:space="preserve"> </w:t>
      </w:r>
      <w:proofErr w:type="gramStart"/>
      <w:r w:rsidR="00B14C63" w:rsidRPr="00174CBA">
        <w:rPr>
          <w:color w:val="000000" w:themeColor="text1"/>
        </w:rPr>
        <w:t xml:space="preserve">15, </w:t>
      </w:r>
      <w:r w:rsidR="00EE24BB" w:rsidRPr="00174CBA">
        <w:rPr>
          <w:color w:val="000000" w:themeColor="text1"/>
        </w:rPr>
        <w:t xml:space="preserve"> 19</w:t>
      </w:r>
      <w:proofErr w:type="gramEnd"/>
      <w:r w:rsidR="00EE24BB" w:rsidRPr="00174CBA">
        <w:rPr>
          <w:color w:val="000000" w:themeColor="text1"/>
        </w:rPr>
        <w:t>, 23</w:t>
      </w:r>
      <w:r w:rsidRPr="00174CBA">
        <w:rPr>
          <w:color w:val="000000" w:themeColor="text1"/>
          <w:sz w:val="22"/>
        </w:rPr>
        <w:t>]</w:t>
      </w:r>
      <w:r w:rsidR="00174CBA">
        <w:rPr>
          <w:color w:val="000000" w:themeColor="text1"/>
          <w:sz w:val="22"/>
        </w:rPr>
        <w:t>.</w:t>
      </w:r>
    </w:p>
    <w:p w14:paraId="04698A75" w14:textId="2A51E06E" w:rsidR="00960A49" w:rsidRPr="002F4478" w:rsidRDefault="00960A49" w:rsidP="00960A49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 xml:space="preserve">Уровень убедительности рекомендаций </w:t>
      </w:r>
      <w:r>
        <w:rPr>
          <w:b/>
          <w:i w:val="0"/>
          <w:iCs w:val="0"/>
        </w:rPr>
        <w:t>С</w:t>
      </w:r>
      <w:r w:rsidRPr="002F4478">
        <w:rPr>
          <w:b/>
          <w:i w:val="0"/>
          <w:iCs w:val="0"/>
        </w:rPr>
        <w:t xml:space="preserve"> (уровень достоверности доказательств –</w:t>
      </w:r>
      <w:r>
        <w:rPr>
          <w:b/>
          <w:i w:val="0"/>
          <w:iCs w:val="0"/>
        </w:rPr>
        <w:t>5</w:t>
      </w:r>
      <w:r w:rsidRPr="002F4478">
        <w:rPr>
          <w:b/>
          <w:i w:val="0"/>
          <w:iCs w:val="0"/>
        </w:rPr>
        <w:t>)</w:t>
      </w:r>
    </w:p>
    <w:p w14:paraId="74F71396" w14:textId="127B3F8A" w:rsidR="009A1A0E" w:rsidRPr="006F7A3D" w:rsidRDefault="009A1A0E" w:rsidP="009A1A0E">
      <w:pPr>
        <w:pStyle w:val="aff2"/>
      </w:pPr>
      <w:r w:rsidRPr="00FC5376">
        <w:rPr>
          <w:b/>
          <w:i w:val="0"/>
          <w:iCs w:val="0"/>
        </w:rPr>
        <w:t xml:space="preserve">Комментарии: </w:t>
      </w:r>
      <w:r w:rsidR="00A33178">
        <w:t>Альтернативной хирургическому вмешательству могут является установка зонда-</w:t>
      </w:r>
      <w:proofErr w:type="spellStart"/>
      <w:r w:rsidR="00A33178">
        <w:t>обутартора</w:t>
      </w:r>
      <w:proofErr w:type="spellEnd"/>
      <w:r w:rsidR="00A33178">
        <w:t xml:space="preserve"> или эндоваскулярные вмешательства. </w:t>
      </w:r>
      <w:r w:rsidRPr="006F7A3D">
        <w:t xml:space="preserve">Объем хирургического вмешательства </w:t>
      </w:r>
      <w:r w:rsidR="00A33178">
        <w:t xml:space="preserve">включает </w:t>
      </w:r>
      <w:proofErr w:type="spellStart"/>
      <w:r w:rsidR="00A33178">
        <w:t>гастротомию</w:t>
      </w:r>
      <w:proofErr w:type="spellEnd"/>
      <w:r w:rsidR="00A33178">
        <w:t xml:space="preserve"> верхней трети тела желудка и прошивание </w:t>
      </w:r>
      <w:proofErr w:type="spellStart"/>
      <w:r w:rsidR="00A33178">
        <w:t>кровотчащих</w:t>
      </w:r>
      <w:proofErr w:type="spellEnd"/>
      <w:r w:rsidR="00A33178">
        <w:t xml:space="preserve"> разрывов. </w:t>
      </w:r>
      <w:r w:rsidRPr="006F7A3D">
        <w:t>[</w:t>
      </w:r>
      <w:r w:rsidR="00A33178">
        <w:rPr>
          <w:color w:val="000000" w:themeColor="text1"/>
        </w:rPr>
        <w:t>215</w:t>
      </w:r>
      <w:r w:rsidRPr="00174CBA">
        <w:rPr>
          <w:color w:val="000000" w:themeColor="text1"/>
        </w:rPr>
        <w:t>,</w:t>
      </w:r>
      <w:r w:rsidR="0094220B">
        <w:rPr>
          <w:color w:val="000000" w:themeColor="text1"/>
        </w:rPr>
        <w:t xml:space="preserve"> </w:t>
      </w:r>
      <w:r w:rsidR="00A33178">
        <w:rPr>
          <w:color w:val="000000" w:themeColor="text1"/>
        </w:rPr>
        <w:t>216, 217</w:t>
      </w:r>
      <w:r w:rsidRPr="00174CBA">
        <w:rPr>
          <w:color w:val="000000" w:themeColor="text1"/>
        </w:rPr>
        <w:t>].</w:t>
      </w:r>
    </w:p>
    <w:p w14:paraId="6D59AD1C" w14:textId="1D415878" w:rsidR="009A1A0E" w:rsidRPr="006F7A3D" w:rsidRDefault="009A1A0E" w:rsidP="00A33178">
      <w:pPr>
        <w:pStyle w:val="4"/>
        <w:spacing w:line="360" w:lineRule="auto"/>
      </w:pPr>
      <w:bookmarkStart w:id="66" w:name="_Toc146491624"/>
      <w:r w:rsidRPr="006F7A3D">
        <w:t xml:space="preserve"> </w:t>
      </w:r>
      <w:r w:rsidR="001377BD">
        <w:t xml:space="preserve"> </w:t>
      </w:r>
      <w:r w:rsidR="00174CBA">
        <w:tab/>
      </w:r>
      <w:bookmarkEnd w:id="66"/>
      <w:r w:rsidRPr="006F7A3D">
        <w:t xml:space="preserve"> </w:t>
      </w:r>
    </w:p>
    <w:p w14:paraId="24530F92" w14:textId="77777777" w:rsidR="009A1A0E" w:rsidRPr="00174CBA" w:rsidRDefault="009A1A0E" w:rsidP="00164890">
      <w:pPr>
        <w:pStyle w:val="4"/>
        <w:spacing w:line="360" w:lineRule="auto"/>
        <w:rPr>
          <w:color w:val="000000" w:themeColor="text1"/>
        </w:rPr>
      </w:pPr>
      <w:bookmarkStart w:id="67" w:name="_Toc146491628"/>
      <w:r w:rsidRPr="00174CBA">
        <w:rPr>
          <w:color w:val="000000" w:themeColor="text1"/>
        </w:rPr>
        <w:t xml:space="preserve"> </w:t>
      </w:r>
      <w:r w:rsidR="001377BD" w:rsidRPr="00174CBA">
        <w:rPr>
          <w:color w:val="000000" w:themeColor="text1"/>
        </w:rPr>
        <w:t xml:space="preserve">    </w:t>
      </w:r>
      <w:r w:rsidRPr="00174CBA">
        <w:rPr>
          <w:color w:val="000000" w:themeColor="text1"/>
        </w:rPr>
        <w:t xml:space="preserve">Лечение больных, находящихся на постоянном приеме </w:t>
      </w:r>
      <w:proofErr w:type="spellStart"/>
      <w:r w:rsidRPr="00174CBA">
        <w:rPr>
          <w:color w:val="000000" w:themeColor="text1"/>
        </w:rPr>
        <w:t>антитромботических</w:t>
      </w:r>
      <w:proofErr w:type="spellEnd"/>
      <w:r w:rsidRPr="00174CBA">
        <w:rPr>
          <w:color w:val="000000" w:themeColor="text1"/>
        </w:rPr>
        <w:t xml:space="preserve"> средств</w:t>
      </w:r>
      <w:bookmarkEnd w:id="67"/>
    </w:p>
    <w:p w14:paraId="21892C62" w14:textId="2CA07888" w:rsidR="009A1A0E" w:rsidRPr="00174CBA" w:rsidRDefault="009A1A0E" w:rsidP="00164890">
      <w:pPr>
        <w:pStyle w:val="a"/>
        <w:rPr>
          <w:b/>
          <w:bCs/>
          <w:color w:val="000000" w:themeColor="text1"/>
        </w:rPr>
      </w:pPr>
      <w:r w:rsidRPr="00174CBA">
        <w:rPr>
          <w:color w:val="000000" w:themeColor="text1"/>
        </w:rPr>
        <w:t>При возникновении кровотечения у пациентов</w:t>
      </w:r>
      <w:r w:rsidR="00A33178">
        <w:rPr>
          <w:color w:val="000000" w:themeColor="text1"/>
        </w:rPr>
        <w:t xml:space="preserve"> с СМВ</w:t>
      </w:r>
      <w:r w:rsidRPr="00174CBA">
        <w:rPr>
          <w:color w:val="000000" w:themeColor="text1"/>
        </w:rPr>
        <w:t xml:space="preserve">, постоянно принимающих </w:t>
      </w:r>
      <w:proofErr w:type="spellStart"/>
      <w:r w:rsidRPr="00174CBA">
        <w:rPr>
          <w:color w:val="000000" w:themeColor="text1"/>
        </w:rPr>
        <w:t>антитромботические</w:t>
      </w:r>
      <w:proofErr w:type="spellEnd"/>
      <w:r w:rsidRPr="00174CBA">
        <w:rPr>
          <w:color w:val="000000" w:themeColor="text1"/>
        </w:rPr>
        <w:t xml:space="preserve"> средства (Код АТХ: В01А) прием этих препаратов рекомендуется прекратить, однако при этом необходимо учитывать соотношение риска развития кардиоваскулярных осложнений с риском рецидива кровотечения в каждом конкретном случае [</w:t>
      </w:r>
      <w:r w:rsidR="0061287D" w:rsidRPr="00174CBA">
        <w:rPr>
          <w:color w:val="000000" w:themeColor="text1"/>
        </w:rPr>
        <w:t>8</w:t>
      </w:r>
      <w:r w:rsidR="005106DD" w:rsidRPr="00174CBA">
        <w:rPr>
          <w:color w:val="000000" w:themeColor="text1"/>
        </w:rPr>
        <w:t>5</w:t>
      </w:r>
      <w:r w:rsidRPr="00174CBA">
        <w:rPr>
          <w:color w:val="000000" w:themeColor="text1"/>
        </w:rPr>
        <w:t>,</w:t>
      </w:r>
      <w:r w:rsidR="0061287D" w:rsidRPr="00174CBA">
        <w:rPr>
          <w:color w:val="000000" w:themeColor="text1"/>
        </w:rPr>
        <w:t xml:space="preserve"> 9</w:t>
      </w:r>
      <w:r w:rsidR="005106DD" w:rsidRPr="00174CBA">
        <w:rPr>
          <w:color w:val="000000" w:themeColor="text1"/>
        </w:rPr>
        <w:t>3</w:t>
      </w:r>
      <w:r w:rsidR="0061287D" w:rsidRPr="00174CBA">
        <w:rPr>
          <w:color w:val="000000" w:themeColor="text1"/>
        </w:rPr>
        <w:t>, 9</w:t>
      </w:r>
      <w:r w:rsidR="005106DD" w:rsidRPr="00174CBA">
        <w:rPr>
          <w:color w:val="000000" w:themeColor="text1"/>
        </w:rPr>
        <w:t>8</w:t>
      </w:r>
      <w:r w:rsidRPr="00174CBA">
        <w:rPr>
          <w:color w:val="000000" w:themeColor="text1"/>
        </w:rPr>
        <w:t xml:space="preserve">]. </w:t>
      </w:r>
    </w:p>
    <w:p w14:paraId="5C0E9BCC" w14:textId="77777777" w:rsidR="00960A49" w:rsidRDefault="00960A49" w:rsidP="009A1A0E">
      <w:pPr>
        <w:rPr>
          <w:color w:val="000000" w:themeColor="text1"/>
        </w:rPr>
      </w:pPr>
      <w:bookmarkStart w:id="68" w:name="_Toc146491629"/>
    </w:p>
    <w:p w14:paraId="377BC3F1" w14:textId="77777777" w:rsidR="00960A49" w:rsidRPr="002F4478" w:rsidRDefault="00960A49" w:rsidP="00960A49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 xml:space="preserve">Уровень убедительности рекомендаций </w:t>
      </w:r>
      <w:r>
        <w:rPr>
          <w:b/>
          <w:i w:val="0"/>
          <w:iCs w:val="0"/>
        </w:rPr>
        <w:t>А</w:t>
      </w:r>
      <w:r w:rsidRPr="002F4478">
        <w:rPr>
          <w:b/>
          <w:i w:val="0"/>
          <w:iCs w:val="0"/>
        </w:rPr>
        <w:t xml:space="preserve"> (уровень достоверности доказательств – </w:t>
      </w:r>
      <w:r>
        <w:rPr>
          <w:b/>
          <w:i w:val="0"/>
          <w:iCs w:val="0"/>
        </w:rPr>
        <w:t>1</w:t>
      </w:r>
      <w:r w:rsidRPr="002F4478">
        <w:rPr>
          <w:b/>
          <w:i w:val="0"/>
          <w:iCs w:val="0"/>
        </w:rPr>
        <w:t>)</w:t>
      </w:r>
    </w:p>
    <w:bookmarkEnd w:id="68"/>
    <w:p w14:paraId="73C769B8" w14:textId="233CC696" w:rsidR="009A1A0E" w:rsidRPr="00174CBA" w:rsidRDefault="009A1A0E" w:rsidP="009A1A0E">
      <w:pPr>
        <w:pStyle w:val="a"/>
        <w:rPr>
          <w:color w:val="000000" w:themeColor="text1"/>
        </w:rPr>
      </w:pPr>
      <w:r w:rsidRPr="00174CBA">
        <w:rPr>
          <w:color w:val="000000" w:themeColor="text1"/>
        </w:rPr>
        <w:t xml:space="preserve">Прием </w:t>
      </w:r>
      <w:proofErr w:type="spellStart"/>
      <w:r w:rsidRPr="00174CBA">
        <w:rPr>
          <w:color w:val="000000" w:themeColor="text1"/>
        </w:rPr>
        <w:t>антитромботических</w:t>
      </w:r>
      <w:proofErr w:type="spellEnd"/>
      <w:r w:rsidRPr="00174CBA">
        <w:rPr>
          <w:color w:val="000000" w:themeColor="text1"/>
        </w:rPr>
        <w:t xml:space="preserve"> средств рекомендуется возобновить, как только будет достигнут устойчивый гемостаз [</w:t>
      </w:r>
      <w:r w:rsidR="00D47948" w:rsidRPr="00174CBA">
        <w:rPr>
          <w:color w:val="000000" w:themeColor="text1"/>
        </w:rPr>
        <w:t>8</w:t>
      </w:r>
      <w:r w:rsidR="005106DD" w:rsidRPr="00174CBA">
        <w:rPr>
          <w:color w:val="000000" w:themeColor="text1"/>
        </w:rPr>
        <w:t>5</w:t>
      </w:r>
      <w:r w:rsidRPr="00174CBA">
        <w:rPr>
          <w:color w:val="000000" w:themeColor="text1"/>
        </w:rPr>
        <w:t xml:space="preserve">, </w:t>
      </w:r>
      <w:r w:rsidR="00D47948" w:rsidRPr="00174CBA">
        <w:rPr>
          <w:color w:val="000000" w:themeColor="text1"/>
        </w:rPr>
        <w:t>9</w:t>
      </w:r>
      <w:r w:rsidR="005106DD" w:rsidRPr="00174CBA">
        <w:rPr>
          <w:color w:val="000000" w:themeColor="text1"/>
        </w:rPr>
        <w:t>3</w:t>
      </w:r>
      <w:r w:rsidRPr="00174CBA">
        <w:rPr>
          <w:color w:val="000000" w:themeColor="text1"/>
        </w:rPr>
        <w:t xml:space="preserve">, </w:t>
      </w:r>
      <w:r w:rsidR="00D47948" w:rsidRPr="00174CBA">
        <w:rPr>
          <w:color w:val="000000" w:themeColor="text1"/>
        </w:rPr>
        <w:t>9</w:t>
      </w:r>
      <w:r w:rsidR="005106DD" w:rsidRPr="00174CBA">
        <w:rPr>
          <w:color w:val="000000" w:themeColor="text1"/>
        </w:rPr>
        <w:t>8</w:t>
      </w:r>
      <w:r w:rsidRPr="00174CBA">
        <w:rPr>
          <w:color w:val="000000" w:themeColor="text1"/>
        </w:rPr>
        <w:t>].</w:t>
      </w:r>
      <w:bookmarkStart w:id="69" w:name="_Toc146491630"/>
    </w:p>
    <w:p w14:paraId="1BB452AE" w14:textId="77777777" w:rsidR="00960A49" w:rsidRPr="002F4478" w:rsidRDefault="00960A49" w:rsidP="00960A49">
      <w:pPr>
        <w:pStyle w:val="aff2"/>
        <w:rPr>
          <w:b/>
          <w:i w:val="0"/>
          <w:iCs w:val="0"/>
        </w:rPr>
      </w:pPr>
      <w:r w:rsidRPr="002F4478">
        <w:rPr>
          <w:b/>
          <w:i w:val="0"/>
          <w:iCs w:val="0"/>
        </w:rPr>
        <w:t xml:space="preserve">Уровень убедительности рекомендаций </w:t>
      </w:r>
      <w:r>
        <w:rPr>
          <w:b/>
          <w:i w:val="0"/>
          <w:iCs w:val="0"/>
        </w:rPr>
        <w:t>А</w:t>
      </w:r>
      <w:r w:rsidRPr="002F4478">
        <w:rPr>
          <w:b/>
          <w:i w:val="0"/>
          <w:iCs w:val="0"/>
        </w:rPr>
        <w:t xml:space="preserve"> (уровень достоверности доказательств – </w:t>
      </w:r>
      <w:r>
        <w:rPr>
          <w:b/>
          <w:i w:val="0"/>
          <w:iCs w:val="0"/>
        </w:rPr>
        <w:t>1</w:t>
      </w:r>
      <w:r w:rsidRPr="002F4478">
        <w:rPr>
          <w:b/>
          <w:i w:val="0"/>
          <w:iCs w:val="0"/>
        </w:rPr>
        <w:t>)</w:t>
      </w:r>
    </w:p>
    <w:bookmarkEnd w:id="69"/>
    <w:p w14:paraId="442FA4F0" w14:textId="6FD4A85D" w:rsidR="009A1A0E" w:rsidRPr="00174CBA" w:rsidRDefault="009A1A0E" w:rsidP="009A1A0E">
      <w:pPr>
        <w:rPr>
          <w:color w:val="000000" w:themeColor="text1"/>
        </w:rPr>
      </w:pPr>
    </w:p>
    <w:p w14:paraId="72D77702" w14:textId="77777777" w:rsidR="001D51EE" w:rsidRPr="00174CBA" w:rsidRDefault="001D51EE" w:rsidP="009A1A0E">
      <w:pPr>
        <w:spacing w:line="360" w:lineRule="auto"/>
        <w:rPr>
          <w:color w:val="000000" w:themeColor="text1"/>
        </w:rPr>
      </w:pPr>
    </w:p>
    <w:p w14:paraId="09C998C9" w14:textId="6D9B1F6A" w:rsidR="005A3863" w:rsidRDefault="001D51EE" w:rsidP="00A33178">
      <w:pPr>
        <w:spacing w:line="360" w:lineRule="auto"/>
        <w:rPr>
          <w:i/>
        </w:rPr>
      </w:pPr>
      <w:r w:rsidRPr="006A0311">
        <w:rPr>
          <w:b/>
        </w:rPr>
        <w:tab/>
      </w:r>
    </w:p>
    <w:p w14:paraId="24ECD6D7" w14:textId="7E0D75C6" w:rsidR="001377BD" w:rsidRDefault="001377BD" w:rsidP="001377BD"/>
    <w:p w14:paraId="2CFAAAB5" w14:textId="77777777" w:rsidR="00B610A2" w:rsidRPr="008156B7" w:rsidRDefault="00B610A2" w:rsidP="008156B7"/>
    <w:p w14:paraId="24C26CD6" w14:textId="00FED7A5" w:rsidR="00AE37FB" w:rsidRPr="0093668E" w:rsidRDefault="00F52CFD">
      <w:pPr>
        <w:pStyle w:val="CustomContentNormal"/>
        <w:jc w:val="both"/>
      </w:pPr>
      <w:bookmarkStart w:id="70" w:name="_2jxsxqh" w:colFirst="0" w:colLast="0"/>
      <w:bookmarkStart w:id="71" w:name="_Toc11747746"/>
      <w:bookmarkStart w:id="72" w:name="_Toc26477703"/>
      <w:bookmarkStart w:id="73" w:name="_Toc16510482"/>
      <w:bookmarkEnd w:id="70"/>
      <w:r w:rsidRPr="0093668E">
        <w:t xml:space="preserve">4. </w:t>
      </w:r>
      <w:r w:rsidR="004C4DB3" w:rsidRPr="004C4DB3"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факторов.</w:t>
      </w:r>
      <w:bookmarkEnd w:id="71"/>
      <w:bookmarkEnd w:id="72"/>
      <w:bookmarkEnd w:id="73"/>
    </w:p>
    <w:p w14:paraId="1BD0FDCF" w14:textId="14C6CCAA" w:rsidR="00AE37FB" w:rsidRPr="00960A49" w:rsidRDefault="00F52CFD">
      <w:pPr>
        <w:pStyle w:val="CustomContentNormal"/>
        <w:jc w:val="both"/>
      </w:pPr>
      <w:r w:rsidRPr="0093668E">
        <w:rPr>
          <w:rFonts w:cs="Times New Roman"/>
          <w:b w:val="0"/>
          <w:bCs/>
          <w:sz w:val="24"/>
          <w:szCs w:val="24"/>
        </w:rPr>
        <w:t xml:space="preserve">        •.    </w:t>
      </w:r>
      <w:proofErr w:type="gramStart"/>
      <w:r w:rsidRPr="0093668E">
        <w:rPr>
          <w:b w:val="0"/>
          <w:bCs/>
          <w:sz w:val="24"/>
          <w:szCs w:val="24"/>
        </w:rPr>
        <w:t>Пациентам</w:t>
      </w:r>
      <w:proofErr w:type="gramEnd"/>
      <w:r w:rsidRPr="0093668E">
        <w:rPr>
          <w:b w:val="0"/>
          <w:bCs/>
          <w:sz w:val="24"/>
          <w:szCs w:val="24"/>
        </w:rPr>
        <w:t xml:space="preserve"> </w:t>
      </w:r>
      <w:r w:rsidR="001D1521">
        <w:rPr>
          <w:b w:val="0"/>
          <w:bCs/>
          <w:sz w:val="24"/>
          <w:szCs w:val="24"/>
        </w:rPr>
        <w:t>перенесшим кровотечение при СМВ</w:t>
      </w:r>
      <w:r w:rsidRPr="0093668E">
        <w:rPr>
          <w:b w:val="0"/>
          <w:bCs/>
          <w:sz w:val="24"/>
          <w:szCs w:val="24"/>
        </w:rPr>
        <w:t xml:space="preserve"> рекомендуется санаторно-курортное лечение в санаторно-курортных организациях климатической зоны проживания пациента [5].</w:t>
      </w:r>
      <w:r w:rsidRPr="0093668E">
        <w:t xml:space="preserve">                                      </w:t>
      </w:r>
      <w:r w:rsidRPr="0093668E">
        <w:rPr>
          <w:sz w:val="24"/>
          <w:szCs w:val="24"/>
        </w:rPr>
        <w:t>Уровень убедительности рекомендаций С (уровень достоверности доказательств – 5)</w:t>
      </w:r>
    </w:p>
    <w:p w14:paraId="3BA5AFE9" w14:textId="26A5F711" w:rsidR="00AE37FB" w:rsidRDefault="00F52CFD">
      <w:pPr>
        <w:spacing w:line="360" w:lineRule="auto"/>
        <w:rPr>
          <w:i/>
        </w:rPr>
      </w:pPr>
      <w:r w:rsidRPr="0093668E">
        <w:rPr>
          <w:b/>
        </w:rPr>
        <w:t>Комментарии</w:t>
      </w:r>
      <w:r w:rsidRPr="0093668E">
        <w:t xml:space="preserve">: </w:t>
      </w:r>
      <w:r w:rsidRPr="0093668E">
        <w:rPr>
          <w:i/>
        </w:rPr>
        <w:t xml:space="preserve">Пациентам </w:t>
      </w:r>
      <w:r w:rsidR="001D1521">
        <w:rPr>
          <w:i/>
        </w:rPr>
        <w:t>с СМВ</w:t>
      </w:r>
      <w:r w:rsidRPr="0093668E">
        <w:rPr>
          <w:i/>
        </w:rPr>
        <w:t xml:space="preserve"> рекомендуется санаторно-курортное лечение продолжительностью 14-21 день. Санаторно-курортное лечения проводится в санаториях Дорохово, Ессентуки, Железноводск и др. и включает в себя </w:t>
      </w:r>
      <w:proofErr w:type="spellStart"/>
      <w:r w:rsidRPr="0093668E">
        <w:rPr>
          <w:i/>
        </w:rPr>
        <w:t>грязе</w:t>
      </w:r>
      <w:proofErr w:type="spellEnd"/>
      <w:r w:rsidRPr="0093668E">
        <w:rPr>
          <w:i/>
        </w:rPr>
        <w:t>- и торфолечение, хвойно-морские ванны, питье щелочных минеральных вод [5].</w:t>
      </w:r>
    </w:p>
    <w:p w14:paraId="5E5A62F2" w14:textId="2C5F95B8" w:rsidR="001A6F4E" w:rsidRPr="008156B7" w:rsidRDefault="001A6F4E" w:rsidP="001A6F4E">
      <w:pPr>
        <w:spacing w:line="360" w:lineRule="auto"/>
        <w:rPr>
          <w:iCs/>
        </w:rPr>
      </w:pPr>
      <w:r>
        <w:br w:type="page"/>
      </w:r>
    </w:p>
    <w:p w14:paraId="4C92CDEE" w14:textId="77777777" w:rsidR="001A6F4E" w:rsidRPr="0093668E" w:rsidRDefault="001A6F4E">
      <w:pPr>
        <w:spacing w:line="360" w:lineRule="auto"/>
        <w:rPr>
          <w:i/>
        </w:rPr>
      </w:pPr>
    </w:p>
    <w:p w14:paraId="36F31281" w14:textId="77777777" w:rsidR="00AE37FB" w:rsidRPr="0093668E" w:rsidRDefault="00E42AC2">
      <w:pPr>
        <w:pStyle w:val="CustomContentNormal"/>
        <w:jc w:val="both"/>
      </w:pPr>
      <w:bookmarkStart w:id="74" w:name="_z337ya" w:colFirst="0" w:colLast="0"/>
      <w:bookmarkStart w:id="75" w:name="_Toc11747747"/>
      <w:bookmarkStart w:id="76" w:name="_Toc16510483"/>
      <w:bookmarkStart w:id="77" w:name="_Toc26477704"/>
      <w:bookmarkEnd w:id="74"/>
      <w:r>
        <w:tab/>
      </w:r>
      <w:r w:rsidR="00F52CFD" w:rsidRPr="0093668E">
        <w:t>5. Профилактика и диспансерное наблюдение, медицинские показания и противопоказания к применению методов профилактики</w:t>
      </w:r>
      <w:bookmarkEnd w:id="75"/>
      <w:bookmarkEnd w:id="76"/>
      <w:bookmarkEnd w:id="77"/>
    </w:p>
    <w:p w14:paraId="2619C00C" w14:textId="48041BD8" w:rsidR="00AE37FB" w:rsidRPr="0093668E" w:rsidRDefault="00F52CFD">
      <w:pPr>
        <w:pStyle w:val="CustomContentNormal"/>
        <w:jc w:val="both"/>
        <w:rPr>
          <w:rFonts w:cs="Times New Roman"/>
          <w:b w:val="0"/>
          <w:bCs/>
          <w:sz w:val="24"/>
          <w:szCs w:val="24"/>
        </w:rPr>
      </w:pPr>
      <w:r w:rsidRPr="0093668E">
        <w:t xml:space="preserve">    </w:t>
      </w:r>
      <w:r w:rsidRPr="0093668E">
        <w:rPr>
          <w:sz w:val="24"/>
          <w:szCs w:val="24"/>
        </w:rPr>
        <w:t xml:space="preserve"> </w:t>
      </w:r>
      <w:r w:rsidRPr="0093668E">
        <w:rPr>
          <w:rFonts w:cs="Times New Roman"/>
          <w:sz w:val="24"/>
          <w:szCs w:val="24"/>
        </w:rPr>
        <w:t>•</w:t>
      </w:r>
      <w:r w:rsidRPr="0093668E">
        <w:t xml:space="preserve"> </w:t>
      </w:r>
      <w:r w:rsidRPr="0093668E">
        <w:rPr>
          <w:rFonts w:cs="Times New Roman"/>
          <w:b w:val="0"/>
          <w:bCs/>
          <w:sz w:val="24"/>
          <w:szCs w:val="24"/>
        </w:rPr>
        <w:t xml:space="preserve">Всем лицам с наличием инфекции </w:t>
      </w:r>
      <w:r w:rsidRPr="0093668E">
        <w:rPr>
          <w:rFonts w:cs="Times New Roman"/>
          <w:b w:val="0"/>
          <w:bCs/>
          <w:i/>
          <w:sz w:val="24"/>
          <w:szCs w:val="24"/>
          <w:lang w:val="en-US"/>
        </w:rPr>
        <w:t>H</w:t>
      </w:r>
      <w:r w:rsidRPr="0093668E">
        <w:rPr>
          <w:rFonts w:cs="Times New Roman"/>
          <w:b w:val="0"/>
          <w:bCs/>
          <w:i/>
          <w:sz w:val="24"/>
          <w:szCs w:val="24"/>
        </w:rPr>
        <w:t xml:space="preserve">. </w:t>
      </w:r>
      <w:r w:rsidRPr="0093668E">
        <w:rPr>
          <w:rFonts w:cs="Times New Roman"/>
          <w:b w:val="0"/>
          <w:bCs/>
          <w:i/>
          <w:sz w:val="24"/>
          <w:szCs w:val="24"/>
          <w:lang w:val="en-US"/>
        </w:rPr>
        <w:t>pylori</w:t>
      </w:r>
      <w:r w:rsidRPr="0093668E">
        <w:rPr>
          <w:rFonts w:cs="Times New Roman"/>
          <w:b w:val="0"/>
          <w:bCs/>
          <w:sz w:val="24"/>
          <w:szCs w:val="24"/>
        </w:rPr>
        <w:t xml:space="preserve"> при отсутствии противопоказаний рекомендуется проведение </w:t>
      </w:r>
      <w:proofErr w:type="spellStart"/>
      <w:r w:rsidRPr="0093668E">
        <w:rPr>
          <w:rFonts w:cs="Times New Roman"/>
          <w:b w:val="0"/>
          <w:bCs/>
          <w:sz w:val="24"/>
          <w:szCs w:val="24"/>
        </w:rPr>
        <w:t>эрадикационной</w:t>
      </w:r>
      <w:proofErr w:type="spellEnd"/>
      <w:r w:rsidRPr="0093668E">
        <w:rPr>
          <w:rFonts w:cs="Times New Roman"/>
          <w:b w:val="0"/>
          <w:bCs/>
          <w:sz w:val="24"/>
          <w:szCs w:val="24"/>
        </w:rPr>
        <w:t xml:space="preserve"> терапии [52].</w:t>
      </w:r>
    </w:p>
    <w:p w14:paraId="44E95663" w14:textId="77777777" w:rsidR="00AE37FB" w:rsidRPr="0093668E" w:rsidRDefault="00F52CFD">
      <w:pPr>
        <w:tabs>
          <w:tab w:val="left" w:pos="4111"/>
        </w:tabs>
        <w:spacing w:line="360" w:lineRule="auto"/>
        <w:rPr>
          <w:b/>
        </w:rPr>
      </w:pPr>
      <w:r w:rsidRPr="0093668E">
        <w:rPr>
          <w:b/>
        </w:rPr>
        <w:t>Уровень убедительности рекомендаций С (уровень достоверности доказательств – 5)</w:t>
      </w:r>
    </w:p>
    <w:p w14:paraId="6EB6F7CF" w14:textId="60AD110C" w:rsidR="00AE37FB" w:rsidRDefault="00F52CFD" w:rsidP="001D1521">
      <w:pPr>
        <w:spacing w:line="360" w:lineRule="auto"/>
        <w:rPr>
          <w:b/>
        </w:rPr>
      </w:pPr>
      <w:r w:rsidRPr="0093668E">
        <w:rPr>
          <w:i/>
          <w:iCs/>
        </w:rPr>
        <w:t xml:space="preserve">      </w:t>
      </w:r>
    </w:p>
    <w:p w14:paraId="6E36A5AF" w14:textId="77777777" w:rsidR="001A6F4E" w:rsidRDefault="001A6F4E" w:rsidP="001A6F4E">
      <w:pPr>
        <w:spacing w:line="360" w:lineRule="auto"/>
        <w:rPr>
          <w:i/>
          <w:iCs/>
        </w:rPr>
      </w:pPr>
      <w:r>
        <w:br w:type="page"/>
      </w:r>
    </w:p>
    <w:p w14:paraId="417F150C" w14:textId="77777777" w:rsidR="00AE37FB" w:rsidRDefault="00F52CFD">
      <w:pPr>
        <w:pStyle w:val="afb"/>
        <w:spacing w:line="360" w:lineRule="auto"/>
      </w:pPr>
      <w:bookmarkStart w:id="78" w:name="_Toc26477705"/>
      <w:r>
        <w:lastRenderedPageBreak/>
        <w:t>6. Организация оказания медицинской помощи</w:t>
      </w:r>
      <w:bookmarkEnd w:id="78"/>
    </w:p>
    <w:p w14:paraId="3EED1893" w14:textId="02956D51" w:rsidR="00AE37FB" w:rsidRDefault="00F52CFD" w:rsidP="001D1521">
      <w:pPr>
        <w:spacing w:line="360" w:lineRule="auto"/>
        <w:ind w:firstLine="720"/>
      </w:pPr>
      <w:r>
        <w:t xml:space="preserve">Показанием к экстренной госпитализации является наличие признаков </w:t>
      </w:r>
      <w:r w:rsidR="001D1521">
        <w:t>пищеводно-</w:t>
      </w:r>
      <w:r>
        <w:t>желудочного кровотечения.</w:t>
      </w:r>
    </w:p>
    <w:p w14:paraId="6081DFEB" w14:textId="4AE22BB9" w:rsidR="00AE37FB" w:rsidRPr="00F23FB8" w:rsidRDefault="00F52CFD" w:rsidP="00F23FB8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  <w:u w:color="000000"/>
        </w:rPr>
      </w:pPr>
      <w:bookmarkStart w:id="79" w:name="_Toc22739184"/>
      <w:r>
        <w:rPr>
          <w:rFonts w:eastAsia="Arial Unicode MS"/>
          <w:color w:val="000000"/>
          <w:u w:color="000000"/>
        </w:rPr>
        <w:tab/>
        <w:t xml:space="preserve">Каждая клиника, оказывающая помощь пациентам </w:t>
      </w:r>
      <w:r w:rsidR="001D1521">
        <w:rPr>
          <w:rFonts w:eastAsia="Arial Unicode MS"/>
          <w:color w:val="000000"/>
          <w:u w:color="000000"/>
        </w:rPr>
        <w:t>с острым кровотечением из ВОПТ (включая кровотечения при СМВ)</w:t>
      </w:r>
      <w:r>
        <w:rPr>
          <w:rFonts w:eastAsia="Arial Unicode MS"/>
          <w:color w:val="000000"/>
          <w:u w:color="000000"/>
        </w:rPr>
        <w:t xml:space="preserve"> должна располагать протоколом мультидисциплинарного ведения таких пациентов. Протокол диагностики и лечения пациентов должен базироваться на национальных клинических рекомендациях и учитывать особенности структуры оказания неотложной помощи и оснащения конкретного лечебно-профилактического учреждения. </w:t>
      </w:r>
    </w:p>
    <w:p w14:paraId="2B312933" w14:textId="6F286564" w:rsidR="00AE37FB" w:rsidRDefault="00F52CFD">
      <w:pPr>
        <w:spacing w:line="360" w:lineRule="auto"/>
        <w:rPr>
          <w:color w:val="000000"/>
          <w:u w:color="000000"/>
        </w:rPr>
      </w:pPr>
      <w:r>
        <w:rPr>
          <w:rFonts w:eastAsia="Calibri"/>
          <w:color w:val="000000"/>
          <w:u w:color="000000"/>
        </w:rPr>
        <w:tab/>
        <w:t xml:space="preserve">У </w:t>
      </w:r>
      <w:proofErr w:type="spellStart"/>
      <w:r>
        <w:rPr>
          <w:rFonts w:eastAsia="Calibri"/>
          <w:color w:val="000000"/>
          <w:u w:color="000000"/>
        </w:rPr>
        <w:t>комплаентных</w:t>
      </w:r>
      <w:proofErr w:type="spellEnd"/>
      <w:r>
        <w:rPr>
          <w:rFonts w:eastAsia="Calibri"/>
          <w:color w:val="000000"/>
          <w:u w:color="000000"/>
        </w:rPr>
        <w:t xml:space="preserve"> </w:t>
      </w:r>
      <w:r>
        <w:rPr>
          <w:color w:val="000000"/>
          <w:u w:color="000000"/>
        </w:rPr>
        <w:t>пациент</w:t>
      </w:r>
      <w:r>
        <w:rPr>
          <w:rFonts w:eastAsia="Calibri"/>
          <w:color w:val="000000"/>
          <w:u w:color="000000"/>
        </w:rPr>
        <w:t>ов</w:t>
      </w:r>
      <w:r>
        <w:rPr>
          <w:color w:val="000000"/>
          <w:u w:color="000000"/>
        </w:rPr>
        <w:t xml:space="preserve"> с </w:t>
      </w:r>
      <w:r w:rsidR="001D1521">
        <w:rPr>
          <w:rFonts w:eastAsia="Calibri"/>
          <w:color w:val="000000"/>
          <w:u w:color="000000"/>
        </w:rPr>
        <w:t>СМВ</w:t>
      </w:r>
      <w:r>
        <w:rPr>
          <w:rFonts w:eastAsia="Calibri"/>
          <w:color w:val="000000"/>
          <w:u w:color="000000"/>
        </w:rPr>
        <w:t xml:space="preserve"> </w:t>
      </w:r>
      <w:r w:rsidR="001D1521">
        <w:rPr>
          <w:rFonts w:eastAsia="Calibri"/>
          <w:color w:val="000000"/>
          <w:u w:color="000000"/>
        </w:rPr>
        <w:t xml:space="preserve">и кровотечением </w:t>
      </w:r>
      <w:r>
        <w:rPr>
          <w:rFonts w:eastAsia="Arial Unicode MS"/>
          <w:color w:val="000000"/>
          <w:u w:color="000000"/>
        </w:rPr>
        <w:t>лёгкой степени</w:t>
      </w:r>
      <w:r w:rsidR="001D1521">
        <w:rPr>
          <w:rFonts w:eastAsia="Arial Unicode MS"/>
          <w:color w:val="000000"/>
          <w:u w:color="000000"/>
        </w:rPr>
        <w:t xml:space="preserve"> тяжести</w:t>
      </w:r>
      <w:r>
        <w:rPr>
          <w:rFonts w:eastAsia="Arial Unicode MS"/>
          <w:color w:val="000000"/>
          <w:u w:color="000000"/>
        </w:rPr>
        <w:t>, низким риском рецидива кровотечения, отсутствием сопутствующей патологии возможна выписка из стационара в ранние сроки от поступления</w:t>
      </w:r>
      <w:r>
        <w:rPr>
          <w:color w:val="000000"/>
          <w:u w:color="000000"/>
        </w:rPr>
        <w:t>.</w:t>
      </w:r>
    </w:p>
    <w:p w14:paraId="1806567B" w14:textId="77777777" w:rsidR="00AE37FB" w:rsidRDefault="00F52CFD">
      <w:pPr>
        <w:pStyle w:val="afb"/>
        <w:spacing w:line="360" w:lineRule="auto"/>
      </w:pPr>
      <w:bookmarkStart w:id="80" w:name="_3j2qqm3" w:colFirst="0" w:colLast="0"/>
      <w:bookmarkStart w:id="81" w:name="_Toc16510485"/>
      <w:bookmarkStart w:id="82" w:name="_Toc11747749"/>
      <w:bookmarkStart w:id="83" w:name="_Toc26477706"/>
      <w:bookmarkEnd w:id="79"/>
      <w:bookmarkEnd w:id="80"/>
      <w:r>
        <w:t>7. Дополнительная информация (в том числе факторы, влияющие на исход заболевания или состояния)</w:t>
      </w:r>
      <w:bookmarkEnd w:id="81"/>
      <w:bookmarkEnd w:id="82"/>
      <w:bookmarkEnd w:id="83"/>
    </w:p>
    <w:p w14:paraId="46307510" w14:textId="3BA3F048" w:rsidR="00AE37FB" w:rsidRDefault="00F52CFD">
      <w:pPr>
        <w:spacing w:line="360" w:lineRule="auto"/>
        <w:ind w:firstLine="708"/>
        <w:rPr>
          <w:b/>
        </w:rPr>
      </w:pPr>
      <w:r>
        <w:rPr>
          <w:b/>
        </w:rPr>
        <w:t xml:space="preserve">7.1. Особенности течения </w:t>
      </w:r>
      <w:r w:rsidR="001D1521">
        <w:rPr>
          <w:b/>
        </w:rPr>
        <w:t>СМВ</w:t>
      </w:r>
      <w:r>
        <w:rPr>
          <w:b/>
        </w:rPr>
        <w:t xml:space="preserve"> у отдельных групп пациентов</w:t>
      </w:r>
    </w:p>
    <w:p w14:paraId="4C07D27C" w14:textId="5F5BC0E5" w:rsidR="00AE37FB" w:rsidRDefault="00F52CFD">
      <w:pPr>
        <w:spacing w:line="360" w:lineRule="auto"/>
        <w:ind w:firstLine="708"/>
        <w:rPr>
          <w:b/>
        </w:rPr>
      </w:pPr>
      <w:r>
        <w:rPr>
          <w:b/>
        </w:rPr>
        <w:t xml:space="preserve">7.1.1 Особенности течения </w:t>
      </w:r>
      <w:r w:rsidR="001D1521">
        <w:rPr>
          <w:b/>
        </w:rPr>
        <w:t>СМВ</w:t>
      </w:r>
      <w:r>
        <w:rPr>
          <w:b/>
        </w:rPr>
        <w:t xml:space="preserve"> при беременности</w:t>
      </w:r>
    </w:p>
    <w:p w14:paraId="6322B98F" w14:textId="5E4F5082" w:rsidR="00AE37FB" w:rsidRDefault="001D1521">
      <w:pPr>
        <w:tabs>
          <w:tab w:val="left" w:pos="708"/>
          <w:tab w:val="left" w:pos="1416"/>
          <w:tab w:val="left" w:pos="4007"/>
        </w:tabs>
        <w:spacing w:line="360" w:lineRule="auto"/>
      </w:pPr>
      <w:r>
        <w:tab/>
      </w:r>
      <w:r w:rsidR="00F52CFD">
        <w:t xml:space="preserve">Течение </w:t>
      </w:r>
      <w:r>
        <w:t xml:space="preserve">СМВ </w:t>
      </w:r>
      <w:r w:rsidR="00F52CFD">
        <w:t>при беременности в целом мало отличается от такового у небеременных женщин. Диагноз устанавливается на основании клинических проявлений, анамнестических данных, результатов ЭГДС [</w:t>
      </w:r>
      <w:r w:rsidR="008A3165">
        <w:t>100</w:t>
      </w:r>
      <w:r w:rsidR="00F52CFD">
        <w:t xml:space="preserve">]. Рентгенологическое исследование желудка и ДПК беременным противопоказано. </w:t>
      </w:r>
    </w:p>
    <w:p w14:paraId="0F6E0720" w14:textId="73723369" w:rsidR="00AE37FB" w:rsidRDefault="00F52CFD" w:rsidP="001D1521">
      <w:pPr>
        <w:spacing w:line="360" w:lineRule="auto"/>
        <w:ind w:firstLine="720"/>
        <w:rPr>
          <w:b/>
        </w:rPr>
      </w:pPr>
      <w:r>
        <w:t>Для раннего токсикоза характерны мучительная, почти постоянная тошнота, усиливающаяся на различные запахи, слюнотечение. При этом рвота бывает независимо от еды, особенно по утрам, боль в животе, как правило, отсутствует. Кровотечение, обусловленное</w:t>
      </w:r>
      <w:r w:rsidR="001D1521">
        <w:t xml:space="preserve"> СМВ</w:t>
      </w:r>
      <w:r>
        <w:t xml:space="preserve"> необходимо дифференцировать </w:t>
      </w:r>
      <w:r w:rsidR="001D1521">
        <w:t>с таковым</w:t>
      </w:r>
      <w:r>
        <w:t xml:space="preserve"> при </w:t>
      </w:r>
      <w:r w:rsidR="001D1521">
        <w:t>язвенной болезни, эрозивном гастрите</w:t>
      </w:r>
      <w:r>
        <w:t>, раке желудка, кровотечением из дыхательных путей.</w:t>
      </w:r>
    </w:p>
    <w:p w14:paraId="7D2A2D50" w14:textId="7F2B388E" w:rsidR="00AE37FB" w:rsidRDefault="00F52CFD" w:rsidP="001D1521">
      <w:pPr>
        <w:spacing w:line="360" w:lineRule="auto"/>
        <w:ind w:firstLine="708"/>
      </w:pPr>
      <w:proofErr w:type="spellStart"/>
      <w:r>
        <w:t>Эрадикационная</w:t>
      </w:r>
      <w:proofErr w:type="spellEnd"/>
      <w:r>
        <w:t xml:space="preserve"> терапия инфекции </w:t>
      </w:r>
      <w:r>
        <w:rPr>
          <w:i/>
        </w:rPr>
        <w:t xml:space="preserve">Н. </w:t>
      </w:r>
      <w:proofErr w:type="spellStart"/>
      <w:r>
        <w:rPr>
          <w:i/>
        </w:rPr>
        <w:t>pylori</w:t>
      </w:r>
      <w:proofErr w:type="spellEnd"/>
      <w:r>
        <w:t xml:space="preserve"> у беременных не проводится.</w:t>
      </w:r>
    </w:p>
    <w:p w14:paraId="561947CD" w14:textId="77777777" w:rsidR="00AE37FB" w:rsidRDefault="00AE37FB">
      <w:pPr>
        <w:spacing w:line="360" w:lineRule="auto"/>
        <w:ind w:firstLine="708"/>
        <w:rPr>
          <w:b/>
        </w:rPr>
      </w:pPr>
    </w:p>
    <w:p w14:paraId="22E4797D" w14:textId="14537272" w:rsidR="00AE37FB" w:rsidRDefault="00F52CFD">
      <w:pPr>
        <w:spacing w:line="360" w:lineRule="auto"/>
        <w:ind w:firstLine="708"/>
        <w:rPr>
          <w:b/>
        </w:rPr>
      </w:pPr>
      <w:r>
        <w:rPr>
          <w:b/>
        </w:rPr>
        <w:t xml:space="preserve">7.1.2 Особенности течения </w:t>
      </w:r>
      <w:r w:rsidR="001D1521">
        <w:rPr>
          <w:b/>
        </w:rPr>
        <w:t>СМВ</w:t>
      </w:r>
      <w:r>
        <w:rPr>
          <w:b/>
        </w:rPr>
        <w:t xml:space="preserve"> у лиц пожилого и старческого возраста </w:t>
      </w:r>
    </w:p>
    <w:p w14:paraId="3215671C" w14:textId="0DC42F72" w:rsidR="00AE37FB" w:rsidRDefault="00F52CFD">
      <w:pPr>
        <w:spacing w:line="360" w:lineRule="auto"/>
        <w:ind w:firstLine="708"/>
      </w:pPr>
      <w:r>
        <w:t xml:space="preserve">В развитии </w:t>
      </w:r>
      <w:r w:rsidR="001D1521">
        <w:t>СМВ</w:t>
      </w:r>
      <w:r>
        <w:t xml:space="preserve"> у пациентов пожилого возраста - помимо инфекции </w:t>
      </w:r>
      <w:proofErr w:type="gramStart"/>
      <w:r>
        <w:rPr>
          <w:i/>
          <w:iCs/>
          <w:lang w:val="en-US"/>
        </w:rPr>
        <w:t>H</w:t>
      </w:r>
      <w:r>
        <w:rPr>
          <w:i/>
          <w:iCs/>
        </w:rPr>
        <w:t>.</w:t>
      </w:r>
      <w:r>
        <w:rPr>
          <w:i/>
          <w:iCs/>
          <w:lang w:val="en-US"/>
        </w:rPr>
        <w:t>pylori</w:t>
      </w:r>
      <w:proofErr w:type="gramEnd"/>
      <w:r>
        <w:t xml:space="preserve">  и кислотно-пептического фактора – могут также играть роль атеросклеротические изменения сосудов желудка, некоторые фоновые заболевания (например, хронические неспецифические заболевания легких), снижающие защитные свойства слизистой оболочки желудка, прием лекарственных препаратов (в первую очередь, НПВП), обладающих </w:t>
      </w:r>
      <w:proofErr w:type="spellStart"/>
      <w:r>
        <w:t>ульцерогенным</w:t>
      </w:r>
      <w:proofErr w:type="spellEnd"/>
      <w:r>
        <w:t xml:space="preserve"> действием.</w:t>
      </w:r>
    </w:p>
    <w:p w14:paraId="6E8F5A66" w14:textId="3A5CEFF9" w:rsidR="00AE37FB" w:rsidRDefault="00F52CFD">
      <w:pPr>
        <w:spacing w:line="360" w:lineRule="auto"/>
      </w:pPr>
      <w:r>
        <w:lastRenderedPageBreak/>
        <w:t xml:space="preserve">При проведении медикаментозной терапии следует соблюдать осторожность, учитывая более высокий риск развития побочных эффектов у пожилых пациентов по сравнению с пациентами молодого и среднего возраста. </w:t>
      </w:r>
    </w:p>
    <w:p w14:paraId="0C8BFFC2" w14:textId="77777777" w:rsidR="00AE37FB" w:rsidRDefault="00AE37FB"/>
    <w:p w14:paraId="71DF5CF6" w14:textId="77777777" w:rsidR="00AE37FB" w:rsidRDefault="00F52CFD">
      <w:pPr>
        <w:pStyle w:val="10"/>
        <w:rPr>
          <w:sz w:val="28"/>
          <w:szCs w:val="28"/>
          <w:u w:val="none"/>
        </w:rPr>
      </w:pPr>
      <w:bookmarkStart w:id="84" w:name="_Toc26477707"/>
      <w:r>
        <w:rPr>
          <w:sz w:val="28"/>
          <w:szCs w:val="28"/>
          <w:u w:val="none"/>
        </w:rPr>
        <w:t>Критерии оценки качества медицинской помощи</w:t>
      </w:r>
      <w:bookmarkEnd w:id="84"/>
      <w:r>
        <w:rPr>
          <w:sz w:val="28"/>
          <w:szCs w:val="28"/>
          <w:u w:val="none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829"/>
        <w:gridCol w:w="1134"/>
      </w:tblGrid>
      <w:tr w:rsidR="00960A49" w14:paraId="6ACA1E58" w14:textId="77777777" w:rsidTr="00960A49">
        <w:tc>
          <w:tcPr>
            <w:tcW w:w="530" w:type="dxa"/>
          </w:tcPr>
          <w:p w14:paraId="20FE3F02" w14:textId="77777777" w:rsidR="00960A49" w:rsidRDefault="00960A49">
            <w:r>
              <w:t>№</w:t>
            </w:r>
          </w:p>
        </w:tc>
        <w:tc>
          <w:tcPr>
            <w:tcW w:w="7829" w:type="dxa"/>
          </w:tcPr>
          <w:p w14:paraId="54C3EA18" w14:textId="77777777" w:rsidR="00960A49" w:rsidRDefault="00960A49">
            <w:r>
              <w:t>Критерии качества</w:t>
            </w:r>
          </w:p>
        </w:tc>
        <w:tc>
          <w:tcPr>
            <w:tcW w:w="1134" w:type="dxa"/>
          </w:tcPr>
          <w:p w14:paraId="7AF887A9" w14:textId="3217A495" w:rsidR="00960A49" w:rsidRDefault="00960A49">
            <w:r>
              <w:t>Да/нет</w:t>
            </w:r>
          </w:p>
        </w:tc>
      </w:tr>
      <w:tr w:rsidR="00960A49" w14:paraId="7CF960F5" w14:textId="77777777" w:rsidTr="00960A49">
        <w:tc>
          <w:tcPr>
            <w:tcW w:w="530" w:type="dxa"/>
          </w:tcPr>
          <w:p w14:paraId="66FAFDF8" w14:textId="77777777" w:rsidR="00960A49" w:rsidRDefault="00960A49">
            <w:r>
              <w:t>1.</w:t>
            </w:r>
          </w:p>
        </w:tc>
        <w:tc>
          <w:tcPr>
            <w:tcW w:w="7829" w:type="dxa"/>
          </w:tcPr>
          <w:p w14:paraId="5453D6BC" w14:textId="6DC2DA95" w:rsidR="00960A49" w:rsidRPr="00255F2E" w:rsidRDefault="00255F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Выполнено промывание желудка</w:t>
            </w:r>
          </w:p>
        </w:tc>
        <w:tc>
          <w:tcPr>
            <w:tcW w:w="1134" w:type="dxa"/>
          </w:tcPr>
          <w:p w14:paraId="2F61D8F8" w14:textId="5405CFFA" w:rsidR="00960A49" w:rsidRDefault="00960A49"/>
        </w:tc>
      </w:tr>
      <w:tr w:rsidR="00255F2E" w14:paraId="69022327" w14:textId="77777777" w:rsidTr="00960A49">
        <w:tc>
          <w:tcPr>
            <w:tcW w:w="530" w:type="dxa"/>
          </w:tcPr>
          <w:p w14:paraId="4A702450" w14:textId="313BAE94" w:rsidR="00255F2E" w:rsidRDefault="00255F2E" w:rsidP="00255F2E">
            <w:r>
              <w:t>2.</w:t>
            </w:r>
          </w:p>
        </w:tc>
        <w:tc>
          <w:tcPr>
            <w:tcW w:w="7829" w:type="dxa"/>
          </w:tcPr>
          <w:p w14:paraId="4B2DF072" w14:textId="57465C40" w:rsidR="00255F2E" w:rsidRDefault="00255F2E" w:rsidP="00255F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Выполнена </w:t>
            </w:r>
            <w:proofErr w:type="spellStart"/>
            <w:r>
              <w:rPr>
                <w:color w:val="000000" w:themeColor="text1"/>
              </w:rPr>
              <w:t>эзофагогастродуоденоскопия</w:t>
            </w:r>
            <w:proofErr w:type="spellEnd"/>
          </w:p>
        </w:tc>
        <w:tc>
          <w:tcPr>
            <w:tcW w:w="1134" w:type="dxa"/>
          </w:tcPr>
          <w:p w14:paraId="3C6E2805" w14:textId="77777777" w:rsidR="00255F2E" w:rsidRDefault="00255F2E" w:rsidP="00255F2E"/>
        </w:tc>
      </w:tr>
      <w:tr w:rsidR="00255F2E" w14:paraId="14235D2C" w14:textId="77777777" w:rsidTr="00960A49">
        <w:tc>
          <w:tcPr>
            <w:tcW w:w="530" w:type="dxa"/>
          </w:tcPr>
          <w:p w14:paraId="572C90AF" w14:textId="59A51E6F" w:rsidR="00255F2E" w:rsidRDefault="00255F2E" w:rsidP="00255F2E">
            <w:r>
              <w:t>3.</w:t>
            </w:r>
          </w:p>
        </w:tc>
        <w:tc>
          <w:tcPr>
            <w:tcW w:w="7829" w:type="dxa"/>
          </w:tcPr>
          <w:p w14:paraId="63B78128" w14:textId="6C60274C" w:rsidR="00255F2E" w:rsidRDefault="00255F2E" w:rsidP="00255F2E">
            <w:r>
              <w:t>При продолжающемся кровотечении выполнена остановка кровотечения эндоскопическая</w:t>
            </w:r>
          </w:p>
        </w:tc>
        <w:tc>
          <w:tcPr>
            <w:tcW w:w="1134" w:type="dxa"/>
          </w:tcPr>
          <w:p w14:paraId="11E2D7D7" w14:textId="7E088322" w:rsidR="00255F2E" w:rsidRDefault="00255F2E" w:rsidP="00255F2E"/>
        </w:tc>
      </w:tr>
      <w:tr w:rsidR="00255F2E" w14:paraId="19FDBC5B" w14:textId="77777777" w:rsidTr="00960A49">
        <w:tc>
          <w:tcPr>
            <w:tcW w:w="530" w:type="dxa"/>
          </w:tcPr>
          <w:p w14:paraId="4C9AE82C" w14:textId="2E8D6AC8" w:rsidR="00255F2E" w:rsidRDefault="00255F2E" w:rsidP="00255F2E">
            <w:r>
              <w:t>4.</w:t>
            </w:r>
          </w:p>
        </w:tc>
        <w:tc>
          <w:tcPr>
            <w:tcW w:w="7829" w:type="dxa"/>
          </w:tcPr>
          <w:p w14:paraId="6DC9B6C0" w14:textId="0F2EF63A" w:rsidR="00255F2E" w:rsidRDefault="00255F2E" w:rsidP="00255F2E">
            <w:r>
              <w:t>Выполнен рекомендованный протокол лечения массивной кровопотери</w:t>
            </w:r>
          </w:p>
        </w:tc>
        <w:tc>
          <w:tcPr>
            <w:tcW w:w="1134" w:type="dxa"/>
          </w:tcPr>
          <w:p w14:paraId="6E74CAA0" w14:textId="279B9CF9" w:rsidR="00255F2E" w:rsidRDefault="00255F2E" w:rsidP="00255F2E"/>
        </w:tc>
      </w:tr>
      <w:tr w:rsidR="00255F2E" w14:paraId="6DFD5BEC" w14:textId="77777777" w:rsidTr="00960A49">
        <w:tc>
          <w:tcPr>
            <w:tcW w:w="530" w:type="dxa"/>
          </w:tcPr>
          <w:p w14:paraId="6D350649" w14:textId="02464810" w:rsidR="00255F2E" w:rsidRDefault="00255F2E" w:rsidP="00255F2E">
            <w:r>
              <w:t>5.</w:t>
            </w:r>
          </w:p>
        </w:tc>
        <w:tc>
          <w:tcPr>
            <w:tcW w:w="7829" w:type="dxa"/>
          </w:tcPr>
          <w:p w14:paraId="263F1CDA" w14:textId="0A5A566A" w:rsidR="00255F2E" w:rsidRDefault="00255F2E" w:rsidP="00255F2E">
            <w:r w:rsidRPr="00174CBA">
              <w:rPr>
                <w:color w:val="000000" w:themeColor="text1"/>
              </w:rPr>
              <w:t xml:space="preserve">Пациентам с продолжающимся </w:t>
            </w:r>
            <w:r>
              <w:rPr>
                <w:color w:val="000000" w:themeColor="text1"/>
              </w:rPr>
              <w:t xml:space="preserve">или неоднократно рецидивирующем </w:t>
            </w:r>
            <w:r w:rsidRPr="00174CBA">
              <w:rPr>
                <w:color w:val="000000" w:themeColor="text1"/>
              </w:rPr>
              <w:t>кровотечением при неэффективности (или невозможнос</w:t>
            </w:r>
            <w:r>
              <w:rPr>
                <w:color w:val="000000" w:themeColor="text1"/>
              </w:rPr>
              <w:t>ти) эндоскопического гемостаза выполнено эндоваскулярное/оперативное лечение</w:t>
            </w:r>
          </w:p>
        </w:tc>
        <w:tc>
          <w:tcPr>
            <w:tcW w:w="1134" w:type="dxa"/>
          </w:tcPr>
          <w:p w14:paraId="5E429443" w14:textId="17E1CC69" w:rsidR="00255F2E" w:rsidRDefault="00255F2E" w:rsidP="00255F2E"/>
        </w:tc>
      </w:tr>
      <w:tr w:rsidR="00255F2E" w14:paraId="080CD76B" w14:textId="77777777" w:rsidTr="00960A49">
        <w:trPr>
          <w:trHeight w:val="244"/>
        </w:trPr>
        <w:tc>
          <w:tcPr>
            <w:tcW w:w="530" w:type="dxa"/>
          </w:tcPr>
          <w:p w14:paraId="2BBC6AEA" w14:textId="5D473346" w:rsidR="00255F2E" w:rsidRDefault="00255F2E" w:rsidP="00255F2E">
            <w:r>
              <w:t>6</w:t>
            </w:r>
          </w:p>
        </w:tc>
        <w:tc>
          <w:tcPr>
            <w:tcW w:w="7829" w:type="dxa"/>
          </w:tcPr>
          <w:p w14:paraId="765E6859" w14:textId="1B1EFF25" w:rsidR="00255F2E" w:rsidRDefault="00255F2E" w:rsidP="00255F2E">
            <w:r>
              <w:t xml:space="preserve">После остановки кровотечения при СМВ проведено тестирование на наличие инфекции </w:t>
            </w:r>
            <w:proofErr w:type="gramStart"/>
            <w:r w:rsidRPr="008156B7">
              <w:rPr>
                <w:i/>
                <w:iCs/>
                <w:lang w:val="en-US"/>
              </w:rPr>
              <w:t>H</w:t>
            </w:r>
            <w:r w:rsidRPr="008156B7">
              <w:rPr>
                <w:i/>
                <w:iCs/>
              </w:rPr>
              <w:t>.</w:t>
            </w:r>
            <w:r w:rsidRPr="008156B7">
              <w:rPr>
                <w:i/>
                <w:iCs/>
                <w:lang w:val="en-US"/>
              </w:rPr>
              <w:t>pylori</w:t>
            </w:r>
            <w:proofErr w:type="gramEnd"/>
            <w:r w:rsidRPr="008156B7">
              <w:rPr>
                <w:i/>
                <w:iCs/>
              </w:rPr>
              <w:t xml:space="preserve">  </w:t>
            </w:r>
            <w:r>
              <w:rPr>
                <w:lang w:val="en-US"/>
              </w:rPr>
              <w:t>c</w:t>
            </w:r>
            <w:r w:rsidRPr="008156B7">
              <w:t xml:space="preserve"> </w:t>
            </w:r>
            <w:r>
              <w:t xml:space="preserve"> последующей  </w:t>
            </w:r>
            <w:proofErr w:type="spellStart"/>
            <w:r>
              <w:t>эрадикационной</w:t>
            </w:r>
            <w:proofErr w:type="spellEnd"/>
            <w:r>
              <w:t xml:space="preserve">  терапией</w:t>
            </w:r>
          </w:p>
        </w:tc>
        <w:tc>
          <w:tcPr>
            <w:tcW w:w="1134" w:type="dxa"/>
          </w:tcPr>
          <w:p w14:paraId="1ED61A44" w14:textId="4C6B845A" w:rsidR="00255F2E" w:rsidRDefault="00255F2E" w:rsidP="00255F2E"/>
        </w:tc>
      </w:tr>
    </w:tbl>
    <w:p w14:paraId="7DDD9007" w14:textId="77777777" w:rsidR="00DE771C" w:rsidRDefault="00DE771C" w:rsidP="00DE771C">
      <w:bookmarkStart w:id="85" w:name="_1y810tw" w:colFirst="0" w:colLast="0"/>
      <w:bookmarkStart w:id="86" w:name="_Toc26477708"/>
      <w:bookmarkEnd w:id="85"/>
    </w:p>
    <w:p w14:paraId="37EB51F5" w14:textId="77777777" w:rsidR="00DE771C" w:rsidRDefault="00DE771C" w:rsidP="00DE771C"/>
    <w:p w14:paraId="59B3EFC1" w14:textId="77777777" w:rsidR="00DE771C" w:rsidRDefault="00DE771C" w:rsidP="00DE771C"/>
    <w:p w14:paraId="6701B174" w14:textId="77777777" w:rsidR="00DE771C" w:rsidRDefault="00DE771C" w:rsidP="00DE771C"/>
    <w:p w14:paraId="47019006" w14:textId="77777777" w:rsidR="00DE771C" w:rsidRDefault="00DE771C" w:rsidP="00DE771C"/>
    <w:p w14:paraId="21FF0AB3" w14:textId="77777777" w:rsidR="00DE771C" w:rsidRDefault="00DE771C" w:rsidP="00DE771C"/>
    <w:p w14:paraId="504A4AAB" w14:textId="77777777" w:rsidR="00DE771C" w:rsidRDefault="00DE771C" w:rsidP="00DE771C"/>
    <w:p w14:paraId="4D1F7390" w14:textId="77777777" w:rsidR="00DE771C" w:rsidRDefault="00DE771C" w:rsidP="00DE771C"/>
    <w:p w14:paraId="4AA1354D" w14:textId="77777777" w:rsidR="00DE771C" w:rsidRDefault="00DE771C" w:rsidP="00DE771C"/>
    <w:p w14:paraId="2586AA95" w14:textId="77777777" w:rsidR="00DE771C" w:rsidRDefault="00DE771C" w:rsidP="00DE771C"/>
    <w:p w14:paraId="3A4AE747" w14:textId="77777777" w:rsidR="00DE771C" w:rsidRDefault="00DE771C" w:rsidP="00DE771C"/>
    <w:p w14:paraId="66975DC4" w14:textId="77777777" w:rsidR="00DE771C" w:rsidRDefault="00DE771C" w:rsidP="00DE771C"/>
    <w:p w14:paraId="57F51346" w14:textId="77777777" w:rsidR="00DE771C" w:rsidRDefault="00DE771C" w:rsidP="00DE771C"/>
    <w:p w14:paraId="6FF153EC" w14:textId="77777777" w:rsidR="00DE771C" w:rsidRDefault="00DE771C" w:rsidP="00DE771C"/>
    <w:p w14:paraId="182D695E" w14:textId="77777777" w:rsidR="00DE771C" w:rsidRDefault="00DE771C" w:rsidP="00DE771C"/>
    <w:p w14:paraId="212FEC87" w14:textId="77777777" w:rsidR="00DE771C" w:rsidRDefault="00DE771C" w:rsidP="00DE771C"/>
    <w:p w14:paraId="4691C56B" w14:textId="77777777" w:rsidR="00DE771C" w:rsidRDefault="00DE771C" w:rsidP="00DE771C"/>
    <w:p w14:paraId="614F738F" w14:textId="77777777" w:rsidR="00DE771C" w:rsidRDefault="00DE771C" w:rsidP="00DE771C"/>
    <w:p w14:paraId="40111F0C" w14:textId="77777777" w:rsidR="00DE771C" w:rsidRDefault="00DE771C" w:rsidP="00DE771C"/>
    <w:p w14:paraId="72044008" w14:textId="77777777" w:rsidR="00DE771C" w:rsidRDefault="00DE771C" w:rsidP="00DE771C"/>
    <w:p w14:paraId="2819585C" w14:textId="1A398608" w:rsidR="0042176E" w:rsidRDefault="0042176E">
      <w:r>
        <w:br w:type="page"/>
      </w:r>
    </w:p>
    <w:p w14:paraId="2BD79043" w14:textId="77777777" w:rsidR="00DE771C" w:rsidRDefault="00DE771C" w:rsidP="00DE771C"/>
    <w:p w14:paraId="6F5F9929" w14:textId="77777777" w:rsidR="009028E3" w:rsidRPr="008156B7" w:rsidRDefault="00DE771C" w:rsidP="00DE771C">
      <w:pPr>
        <w:rPr>
          <w:color w:val="000000" w:themeColor="text1"/>
        </w:rPr>
      </w:pPr>
      <w: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="00F52CFD" w:rsidRPr="008156B7">
        <w:rPr>
          <w:color w:val="000000" w:themeColor="text1"/>
        </w:rPr>
        <w:t>Список литературы</w:t>
      </w:r>
      <w:bookmarkEnd w:id="86"/>
    </w:p>
    <w:p w14:paraId="4183AEA2" w14:textId="77777777" w:rsidR="00DE771C" w:rsidRPr="008156B7" w:rsidRDefault="00DE771C" w:rsidP="00DE771C">
      <w:pPr>
        <w:rPr>
          <w:color w:val="000000" w:themeColor="text1"/>
        </w:rPr>
      </w:pPr>
    </w:p>
    <w:p w14:paraId="73CF56B0" w14:textId="77777777" w:rsidR="00DE771C" w:rsidRPr="008156B7" w:rsidRDefault="00DE771C" w:rsidP="00DE771C">
      <w:pPr>
        <w:rPr>
          <w:rFonts w:eastAsia="Sans" w:cstheme="minorBidi"/>
          <w:b/>
          <w:color w:val="000000" w:themeColor="text1"/>
          <w:sz w:val="28"/>
          <w:szCs w:val="22"/>
          <w:lang w:eastAsia="en-US"/>
        </w:rPr>
      </w:pPr>
    </w:p>
    <w:p w14:paraId="743D95F8" w14:textId="12FFC774" w:rsidR="00464623" w:rsidRPr="008156B7" w:rsidRDefault="00464623" w:rsidP="008156B7">
      <w:pPr>
        <w:pStyle w:val="af6"/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  <w:lang w:val="en-US"/>
        </w:rPr>
      </w:pPr>
      <w:r w:rsidRPr="008156B7">
        <w:rPr>
          <w:color w:val="000000" w:themeColor="text1"/>
          <w:lang w:val="en-US"/>
        </w:rPr>
        <w:t>Shay H, Sun DCH. Etiology and pathology of gastric and duodenal ulcer. In: Bockus H.L. Gastroenterology, Philadelphia-London: Saunders Elsevier, 1968: 420-465.</w:t>
      </w:r>
    </w:p>
    <w:p w14:paraId="79AF4AFE" w14:textId="7FC29AB4" w:rsidR="00464623" w:rsidRPr="00F661C3" w:rsidRDefault="00464623" w:rsidP="008156B7">
      <w:pPr>
        <w:pStyle w:val="af6"/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  <w:lang w:val="en-US"/>
        </w:rPr>
      </w:pPr>
      <w:r w:rsidRPr="00F661C3">
        <w:rPr>
          <w:color w:val="000000" w:themeColor="text1"/>
          <w:lang w:val="en-US"/>
        </w:rPr>
        <w:t xml:space="preserve">Lanas A, Chan FKL. Peptic ulcer disease. Lancet 2017; 390 (10094): 613-624.       </w:t>
      </w:r>
      <w:proofErr w:type="spellStart"/>
      <w:r w:rsidR="00222D30" w:rsidRPr="00222D30">
        <w:rPr>
          <w:color w:val="000000" w:themeColor="text1"/>
          <w:lang w:val="en-US"/>
        </w:rPr>
        <w:t>doi</w:t>
      </w:r>
      <w:proofErr w:type="spellEnd"/>
      <w:r w:rsidR="00222D30" w:rsidRPr="00222D30">
        <w:rPr>
          <w:color w:val="000000" w:themeColor="text1"/>
          <w:lang w:val="en-US"/>
        </w:rPr>
        <w:t>:</w:t>
      </w:r>
      <w:r w:rsidRPr="00F661C3">
        <w:rPr>
          <w:color w:val="000000" w:themeColor="text1"/>
          <w:shd w:val="clear" w:color="auto" w:fill="FFFFFF"/>
          <w:lang w:val="en-US"/>
        </w:rPr>
        <w:t xml:space="preserve"> 10.1016/S0140-6736(16)32404-7.</w:t>
      </w:r>
    </w:p>
    <w:p w14:paraId="54DCF4DF" w14:textId="08DA6060" w:rsidR="00464623" w:rsidRPr="008156B7" w:rsidRDefault="00464623" w:rsidP="008156B7">
      <w:pPr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  <w:lang w:val="en-US"/>
        </w:rPr>
      </w:pPr>
      <w:r w:rsidRPr="008156B7">
        <w:rPr>
          <w:color w:val="000000" w:themeColor="text1"/>
          <w:lang w:val="en-US"/>
        </w:rPr>
        <w:t xml:space="preserve">Chan FKL., Lau JYW. Peptic ulcer disease. In: </w:t>
      </w:r>
      <w:proofErr w:type="spellStart"/>
      <w:r w:rsidRPr="008156B7">
        <w:rPr>
          <w:color w:val="000000" w:themeColor="text1"/>
          <w:lang w:val="en-US"/>
        </w:rPr>
        <w:t>Sleisenger</w:t>
      </w:r>
      <w:proofErr w:type="spellEnd"/>
      <w:r w:rsidRPr="008156B7">
        <w:rPr>
          <w:color w:val="000000" w:themeColor="text1"/>
          <w:lang w:val="en-US"/>
        </w:rPr>
        <w:t xml:space="preserve"> and </w:t>
      </w:r>
      <w:proofErr w:type="spellStart"/>
      <w:r w:rsidRPr="008156B7">
        <w:rPr>
          <w:color w:val="000000" w:themeColor="text1"/>
          <w:lang w:val="en-US"/>
        </w:rPr>
        <w:t>Fordtran's</w:t>
      </w:r>
      <w:proofErr w:type="spellEnd"/>
      <w:r w:rsidRPr="008156B7">
        <w:rPr>
          <w:color w:val="000000" w:themeColor="text1"/>
          <w:lang w:val="en-US"/>
        </w:rPr>
        <w:t xml:space="preserve"> Gastrointestinal and Liver Disease. 10</w:t>
      </w:r>
      <w:r w:rsidRPr="008156B7">
        <w:rPr>
          <w:color w:val="000000" w:themeColor="text1"/>
          <w:vertAlign w:val="superscript"/>
          <w:lang w:val="en-US"/>
        </w:rPr>
        <w:t>th</w:t>
      </w:r>
      <w:r w:rsidRPr="008156B7">
        <w:rPr>
          <w:color w:val="000000" w:themeColor="text1"/>
          <w:lang w:val="en-US"/>
        </w:rPr>
        <w:t xml:space="preserve"> ed. Philadelphia: Saunders Elsevier</w:t>
      </w:r>
      <w:r w:rsidR="00ED2164">
        <w:rPr>
          <w:color w:val="000000" w:themeColor="text1"/>
        </w:rPr>
        <w:t>,</w:t>
      </w:r>
      <w:r w:rsidRPr="008156B7">
        <w:rPr>
          <w:color w:val="000000" w:themeColor="text1"/>
          <w:lang w:val="en-US"/>
        </w:rPr>
        <w:t xml:space="preserve"> 2015: chap. 14.</w:t>
      </w:r>
    </w:p>
    <w:p w14:paraId="3BAAFFEE" w14:textId="481CEEC0" w:rsidR="00464623" w:rsidRPr="008156B7" w:rsidRDefault="00464623" w:rsidP="008156B7">
      <w:pPr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  <w:lang w:val="en-US"/>
        </w:rPr>
      </w:pPr>
      <w:r w:rsidRPr="008156B7">
        <w:rPr>
          <w:color w:val="000000" w:themeColor="text1"/>
          <w:lang w:val="en-US"/>
        </w:rPr>
        <w:t>Ramakrishnan K, Salinas RC. Peptic ulcer disease. Am Fam Physician 2007; 76</w:t>
      </w:r>
      <w:r w:rsidRPr="008156B7">
        <w:rPr>
          <w:color w:val="000000" w:themeColor="text1"/>
        </w:rPr>
        <w:t xml:space="preserve"> (7)</w:t>
      </w:r>
      <w:r w:rsidRPr="008156B7">
        <w:rPr>
          <w:color w:val="000000" w:themeColor="text1"/>
          <w:lang w:val="en-US"/>
        </w:rPr>
        <w:t>: 1005-1012.</w:t>
      </w:r>
    </w:p>
    <w:p w14:paraId="2A291D09" w14:textId="10632EE8" w:rsidR="00464623" w:rsidRPr="008156B7" w:rsidRDefault="00464623" w:rsidP="008156B7">
      <w:pPr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</w:rPr>
      </w:pPr>
      <w:r w:rsidRPr="008156B7">
        <w:rPr>
          <w:color w:val="000000" w:themeColor="text1"/>
        </w:rPr>
        <w:t xml:space="preserve">Василенко В.Х., </w:t>
      </w:r>
      <w:proofErr w:type="spellStart"/>
      <w:r w:rsidRPr="008156B7">
        <w:rPr>
          <w:color w:val="000000" w:themeColor="text1"/>
        </w:rPr>
        <w:t>Гребенев</w:t>
      </w:r>
      <w:proofErr w:type="spellEnd"/>
      <w:r w:rsidRPr="008156B7">
        <w:rPr>
          <w:color w:val="000000" w:themeColor="text1"/>
        </w:rPr>
        <w:t xml:space="preserve"> А.Л., Шептулин А.А. Язвенная болезнь. М</w:t>
      </w:r>
      <w:r w:rsidR="002F73AB">
        <w:rPr>
          <w:color w:val="000000" w:themeColor="text1"/>
        </w:rPr>
        <w:t>.</w:t>
      </w:r>
      <w:r w:rsidRPr="008156B7">
        <w:rPr>
          <w:color w:val="000000" w:themeColor="text1"/>
        </w:rPr>
        <w:t>: Медицина, 1987</w:t>
      </w:r>
      <w:r w:rsidR="002F73AB">
        <w:rPr>
          <w:color w:val="000000" w:themeColor="text1"/>
        </w:rPr>
        <w:t>. -</w:t>
      </w:r>
      <w:r w:rsidRPr="008156B7">
        <w:rPr>
          <w:color w:val="000000" w:themeColor="text1"/>
        </w:rPr>
        <w:t xml:space="preserve"> 288 с.</w:t>
      </w:r>
    </w:p>
    <w:p w14:paraId="064BB85E" w14:textId="1912AD04" w:rsidR="00464623" w:rsidRPr="00F661C3" w:rsidRDefault="00464623" w:rsidP="008156B7">
      <w:pPr>
        <w:pStyle w:val="af6"/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  <w:lang w:val="en-US"/>
        </w:rPr>
      </w:pPr>
      <w:r w:rsidRPr="00F661C3">
        <w:rPr>
          <w:color w:val="000000" w:themeColor="text1"/>
          <w:lang w:val="en-US"/>
        </w:rPr>
        <w:t>Lau J.Y., Sung J., Hill C. et al. Systematic review of the epidemiology of complicated peptic ulcer disease: incidence, recurrence, risk factors and mortality. Digestion 2011; 84 (2): 102-113.</w:t>
      </w:r>
      <w:r w:rsidRPr="00F661C3">
        <w:rPr>
          <w:rFonts w:ascii="Segoe UI" w:hAnsi="Segoe UI" w:cs="Segoe UI"/>
          <w:color w:val="000000" w:themeColor="text1"/>
          <w:lang w:val="en-US"/>
        </w:rPr>
        <w:t xml:space="preserve"> </w:t>
      </w:r>
      <w:proofErr w:type="spellStart"/>
      <w:r w:rsidR="00222D30" w:rsidRPr="00222D30">
        <w:rPr>
          <w:color w:val="000000" w:themeColor="text1"/>
          <w:lang w:val="en-US"/>
        </w:rPr>
        <w:t>doi</w:t>
      </w:r>
      <w:proofErr w:type="spellEnd"/>
      <w:r w:rsidR="00222D30" w:rsidRPr="00222D30">
        <w:rPr>
          <w:color w:val="000000" w:themeColor="text1"/>
          <w:lang w:val="en-US"/>
        </w:rPr>
        <w:t>:</w:t>
      </w:r>
      <w:r w:rsidRPr="00F661C3">
        <w:rPr>
          <w:color w:val="000000" w:themeColor="text1"/>
          <w:lang w:val="en-US"/>
        </w:rPr>
        <w:t xml:space="preserve"> 10.1159/000323958</w:t>
      </w:r>
      <w:r w:rsidRPr="00F661C3">
        <w:rPr>
          <w:rFonts w:ascii="Segoe UI" w:hAnsi="Segoe UI" w:cs="Segoe UI"/>
          <w:color w:val="000000" w:themeColor="text1"/>
          <w:lang w:val="en-US"/>
        </w:rPr>
        <w:t>.</w:t>
      </w:r>
      <w:r w:rsidRPr="00F661C3">
        <w:rPr>
          <w:rFonts w:ascii="Segoe UI" w:hAnsi="Segoe UI" w:cs="Segoe UI"/>
          <w:color w:val="000000" w:themeColor="text1"/>
          <w:shd w:val="clear" w:color="auto" w:fill="FFFFFF"/>
          <w:lang w:val="en-US"/>
        </w:rPr>
        <w:t> </w:t>
      </w:r>
    </w:p>
    <w:p w14:paraId="21EC9650" w14:textId="4362D707" w:rsidR="00464623" w:rsidRPr="008156B7" w:rsidRDefault="00464623" w:rsidP="008156B7">
      <w:pPr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  <w:lang w:val="en-US"/>
        </w:rPr>
      </w:pPr>
      <w:r w:rsidRPr="008156B7">
        <w:rPr>
          <w:color w:val="000000" w:themeColor="text1"/>
        </w:rPr>
        <w:t>Заболеваемость всего населения России в 2006 г. Статистические материалы Минздрава России. М., 200</w:t>
      </w:r>
      <w:r w:rsidR="00ED2164">
        <w:rPr>
          <w:color w:val="000000" w:themeColor="text1"/>
        </w:rPr>
        <w:t xml:space="preserve">7. - </w:t>
      </w:r>
      <w:r w:rsidRPr="008156B7">
        <w:rPr>
          <w:color w:val="000000" w:themeColor="text1"/>
        </w:rPr>
        <w:t xml:space="preserve"> 98</w:t>
      </w:r>
      <w:r w:rsidR="00ED2164" w:rsidRPr="00ED2164">
        <w:rPr>
          <w:color w:val="000000" w:themeColor="text1"/>
        </w:rPr>
        <w:t xml:space="preserve"> </w:t>
      </w:r>
      <w:r w:rsidR="00ED2164" w:rsidRPr="008156B7">
        <w:rPr>
          <w:color w:val="000000" w:themeColor="text1"/>
        </w:rPr>
        <w:t>с.</w:t>
      </w:r>
    </w:p>
    <w:p w14:paraId="0C4F3C54" w14:textId="7C8138CE" w:rsidR="00464623" w:rsidRPr="008156B7" w:rsidRDefault="00464623" w:rsidP="008156B7">
      <w:pPr>
        <w:pStyle w:val="af6"/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</w:rPr>
      </w:pPr>
      <w:r w:rsidRPr="008156B7">
        <w:rPr>
          <w:color w:val="000000" w:themeColor="text1"/>
        </w:rPr>
        <w:t>Заболеваемость всего населения России в 2018 г. Статистические материалы Минздрава России. М., 2018</w:t>
      </w:r>
      <w:r w:rsidR="00ED2164">
        <w:rPr>
          <w:color w:val="000000" w:themeColor="text1"/>
        </w:rPr>
        <w:t>. -</w:t>
      </w:r>
      <w:r w:rsidRPr="008156B7">
        <w:rPr>
          <w:color w:val="000000" w:themeColor="text1"/>
        </w:rPr>
        <w:t xml:space="preserve"> 101</w:t>
      </w:r>
      <w:r w:rsidR="00ED2164" w:rsidRPr="00ED2164">
        <w:rPr>
          <w:color w:val="000000" w:themeColor="text1"/>
        </w:rPr>
        <w:t xml:space="preserve"> </w:t>
      </w:r>
      <w:r w:rsidR="00ED2164" w:rsidRPr="008156B7">
        <w:rPr>
          <w:color w:val="000000" w:themeColor="text1"/>
        </w:rPr>
        <w:t>с.</w:t>
      </w:r>
    </w:p>
    <w:p w14:paraId="56CA1E02" w14:textId="0DDA6A69" w:rsidR="00464623" w:rsidRPr="008156B7" w:rsidRDefault="00464623" w:rsidP="008156B7">
      <w:pPr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</w:rPr>
      </w:pPr>
      <w:r w:rsidRPr="008156B7">
        <w:rPr>
          <w:color w:val="000000" w:themeColor="text1"/>
          <w:lang w:val="en-US"/>
        </w:rPr>
        <w:t>Hawkey CJ, Wight NJ. Clinician’s manual on NSAIDS and gastrointestinal complications. London: Life Science Communications, 2001.</w:t>
      </w:r>
    </w:p>
    <w:p w14:paraId="22EE151C" w14:textId="12416693" w:rsidR="003E3AE4" w:rsidRPr="008156B7" w:rsidRDefault="003E3AE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8156B7">
        <w:rPr>
          <w:color w:val="000000" w:themeColor="text1"/>
        </w:rPr>
        <w:t xml:space="preserve">Хирургическая помощь в Российской Федерации. М., 2022. </w:t>
      </w:r>
      <w:r w:rsidR="00ED2164">
        <w:rPr>
          <w:color w:val="000000" w:themeColor="text1"/>
        </w:rPr>
        <w:t>-</w:t>
      </w:r>
      <w:r w:rsidRPr="008156B7">
        <w:rPr>
          <w:color w:val="000000" w:themeColor="text1"/>
        </w:rPr>
        <w:t xml:space="preserve"> 132 с. </w:t>
      </w:r>
    </w:p>
    <w:p w14:paraId="22AC999B" w14:textId="292352C3" w:rsidR="003E3AE4" w:rsidRPr="008156B7" w:rsidRDefault="003E3AE4" w:rsidP="008156B7">
      <w:pPr>
        <w:pStyle w:val="af6"/>
        <w:numPr>
          <w:ilvl w:val="0"/>
          <w:numId w:val="4"/>
        </w:numPr>
        <w:spacing w:line="360" w:lineRule="auto"/>
        <w:ind w:left="0" w:right="284" w:firstLine="0"/>
        <w:rPr>
          <w:color w:val="000000" w:themeColor="text1"/>
        </w:rPr>
      </w:pPr>
      <w:r w:rsidRPr="008156B7">
        <w:rPr>
          <w:color w:val="000000" w:themeColor="text1"/>
        </w:rPr>
        <w:t xml:space="preserve">Язвенные </w:t>
      </w:r>
      <w:proofErr w:type="spellStart"/>
      <w:r w:rsidRPr="008156B7">
        <w:rPr>
          <w:color w:val="000000" w:themeColor="text1"/>
        </w:rPr>
        <w:t>гастродуоденальные</w:t>
      </w:r>
      <w:proofErr w:type="spellEnd"/>
      <w:r w:rsidRPr="008156B7">
        <w:rPr>
          <w:color w:val="000000" w:themeColor="text1"/>
        </w:rPr>
        <w:t xml:space="preserve"> кровотечения. Клинические рекомендации Российского общества хирургов. Приняты на Общероссийской согласительной</w:t>
      </w:r>
      <w:r w:rsidR="002F73AB">
        <w:rPr>
          <w:color w:val="000000" w:themeColor="text1"/>
        </w:rPr>
        <w:t xml:space="preserve"> </w:t>
      </w:r>
      <w:r w:rsidRPr="008156B7">
        <w:rPr>
          <w:color w:val="000000" w:themeColor="text1"/>
        </w:rPr>
        <w:t xml:space="preserve">конференции по принятию национальных клинических рекомендаций 6 июня 2014 года, г. Воронеж: </w:t>
      </w:r>
      <w:r w:rsidR="002F73AB" w:rsidRPr="008156B7">
        <w:rPr>
          <w:color w:val="000000" w:themeColor="text1"/>
        </w:rPr>
        <w:t>1–9</w:t>
      </w:r>
      <w:r w:rsidRPr="008156B7">
        <w:rPr>
          <w:color w:val="000000" w:themeColor="text1"/>
        </w:rPr>
        <w:t>.</w:t>
      </w:r>
    </w:p>
    <w:p w14:paraId="528D9F42" w14:textId="4ABC3434" w:rsidR="00E71994" w:rsidRPr="008156B7" w:rsidRDefault="00222D30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222D30">
        <w:rPr>
          <w:color w:val="000000" w:themeColor="text1"/>
          <w:lang w:val="en-US"/>
        </w:rPr>
        <w:t xml:space="preserve">Karstensen JG, </w:t>
      </w:r>
      <w:proofErr w:type="spellStart"/>
      <w:r w:rsidRPr="00222D30">
        <w:rPr>
          <w:color w:val="000000" w:themeColor="text1"/>
          <w:lang w:val="en-US"/>
        </w:rPr>
        <w:t>Ebigbo</w:t>
      </w:r>
      <w:proofErr w:type="spellEnd"/>
      <w:r w:rsidRPr="00222D30">
        <w:rPr>
          <w:color w:val="000000" w:themeColor="text1"/>
          <w:lang w:val="en-US"/>
        </w:rPr>
        <w:t xml:space="preserve"> A, </w:t>
      </w:r>
      <w:proofErr w:type="spellStart"/>
      <w:r w:rsidRPr="00222D30">
        <w:rPr>
          <w:color w:val="000000" w:themeColor="text1"/>
          <w:lang w:val="en-US"/>
        </w:rPr>
        <w:t>Aabakken</w:t>
      </w:r>
      <w:proofErr w:type="spellEnd"/>
      <w:r w:rsidRPr="00222D30">
        <w:rPr>
          <w:color w:val="000000" w:themeColor="text1"/>
          <w:lang w:val="en-US"/>
        </w:rPr>
        <w:t xml:space="preserve"> L, et al. Nonvariceal upper gastrointestinal hemorrhage: European Society of Gastrointestinal Endoscopy (ESGE) Cascade Guideline. </w:t>
      </w:r>
      <w:proofErr w:type="spellStart"/>
      <w:r w:rsidRPr="00222D30">
        <w:rPr>
          <w:color w:val="000000" w:themeColor="text1"/>
          <w:lang w:val="en-US"/>
        </w:rPr>
        <w:t>Endosc</w:t>
      </w:r>
      <w:proofErr w:type="spellEnd"/>
      <w:r w:rsidRPr="00222D30">
        <w:rPr>
          <w:color w:val="000000" w:themeColor="text1"/>
          <w:lang w:val="en-US"/>
        </w:rPr>
        <w:t xml:space="preserve"> Int Open. 2018;6(10</w:t>
      </w:r>
      <w:proofErr w:type="gramStart"/>
      <w:r w:rsidRPr="00222D30">
        <w:rPr>
          <w:color w:val="000000" w:themeColor="text1"/>
          <w:lang w:val="en-US"/>
        </w:rPr>
        <w:t>):E</w:t>
      </w:r>
      <w:proofErr w:type="gramEnd"/>
      <w:r w:rsidRPr="00222D30">
        <w:rPr>
          <w:color w:val="000000" w:themeColor="text1"/>
          <w:lang w:val="en-US"/>
        </w:rPr>
        <w:t>1256-E1263. doi:10.1055/a-0677-2084</w:t>
      </w:r>
      <w:r w:rsidR="00E71994" w:rsidRPr="008156B7">
        <w:rPr>
          <w:color w:val="000000" w:themeColor="text1"/>
          <w:lang w:val="en-US"/>
        </w:rPr>
        <w:t>.</w:t>
      </w:r>
    </w:p>
    <w:p w14:paraId="65A6F650" w14:textId="77777777" w:rsidR="00D66295" w:rsidRPr="00D66295" w:rsidRDefault="00D66295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D66295">
        <w:rPr>
          <w:color w:val="000000" w:themeColor="text1"/>
          <w:lang w:val="en-US"/>
        </w:rPr>
        <w:t>Barkun</w:t>
      </w:r>
      <w:proofErr w:type="spellEnd"/>
      <w:r w:rsidRPr="00D66295">
        <w:rPr>
          <w:color w:val="000000" w:themeColor="text1"/>
          <w:lang w:val="en-US"/>
        </w:rPr>
        <w:t xml:space="preserve"> AN, Almadi M, Kuipers EJ, et al. Management of Nonvariceal Upper Gastrointestinal Bleeding: Guideline Recommendations </w:t>
      </w:r>
      <w:proofErr w:type="gramStart"/>
      <w:r w:rsidRPr="00D66295">
        <w:rPr>
          <w:color w:val="000000" w:themeColor="text1"/>
          <w:lang w:val="en-US"/>
        </w:rPr>
        <w:t>From</w:t>
      </w:r>
      <w:proofErr w:type="gramEnd"/>
      <w:r w:rsidRPr="00D66295">
        <w:rPr>
          <w:color w:val="000000" w:themeColor="text1"/>
          <w:lang w:val="en-US"/>
        </w:rPr>
        <w:t xml:space="preserve"> the International Consensus Group. Ann Intern Med. 2019;171(11):805-822. doi:10.7326/M19-1795</w:t>
      </w:r>
    </w:p>
    <w:p w14:paraId="51FAD024" w14:textId="5B4104BD" w:rsidR="009028E3" w:rsidRPr="008156B7" w:rsidRDefault="00A12957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8156B7">
        <w:rPr>
          <w:color w:val="000000" w:themeColor="text1"/>
          <w:lang w:val="en-US"/>
        </w:rPr>
        <w:lastRenderedPageBreak/>
        <w:t>Acute upper gastrointestinal bleeding overview</w:t>
      </w:r>
      <w:r w:rsidR="00D66295" w:rsidRPr="00B554D1">
        <w:rPr>
          <w:color w:val="000000" w:themeColor="text1"/>
          <w:lang w:val="en-US"/>
        </w:rPr>
        <w:t>.</w:t>
      </w:r>
      <w:r w:rsidRPr="008156B7">
        <w:rPr>
          <w:color w:val="000000" w:themeColor="text1"/>
          <w:lang w:val="en-US"/>
        </w:rPr>
        <w:t xml:space="preserve"> UK National Institute for Health and Care Excellence, 2019.</w:t>
      </w:r>
    </w:p>
    <w:p w14:paraId="1E0FDE94" w14:textId="2F78DE67" w:rsidR="00897AEF" w:rsidRPr="008156B7" w:rsidRDefault="00897AEF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8156B7">
        <w:rPr>
          <w:color w:val="000000" w:themeColor="text1"/>
        </w:rPr>
        <w:t xml:space="preserve">Гринберг А.А., Затевахин И.И., Щеголев А.А. Хирургическая тактика при язвенных </w:t>
      </w:r>
      <w:proofErr w:type="spellStart"/>
      <w:r w:rsidRPr="008156B7">
        <w:rPr>
          <w:color w:val="000000" w:themeColor="text1"/>
        </w:rPr>
        <w:t>гастродуоденальных</w:t>
      </w:r>
      <w:proofErr w:type="spellEnd"/>
      <w:r w:rsidRPr="008156B7">
        <w:rPr>
          <w:color w:val="000000" w:themeColor="text1"/>
        </w:rPr>
        <w:t xml:space="preserve"> кровотечениях. М.: Медицина</w:t>
      </w:r>
      <w:r w:rsidR="005250EB">
        <w:rPr>
          <w:color w:val="000000" w:themeColor="text1"/>
        </w:rPr>
        <w:t>,</w:t>
      </w:r>
      <w:r w:rsidRPr="008156B7">
        <w:rPr>
          <w:color w:val="000000" w:themeColor="text1"/>
        </w:rPr>
        <w:t xml:space="preserve"> 1996. – 149 с.</w:t>
      </w:r>
    </w:p>
    <w:p w14:paraId="61DAA403" w14:textId="6044DB24" w:rsidR="00897AEF" w:rsidRPr="008156B7" w:rsidRDefault="00897AEF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B554D1">
        <w:rPr>
          <w:color w:val="000000" w:themeColor="text1"/>
        </w:rPr>
        <w:t>Горбашко</w:t>
      </w:r>
      <w:proofErr w:type="spellEnd"/>
      <w:r w:rsidRPr="00B554D1">
        <w:rPr>
          <w:color w:val="000000" w:themeColor="text1"/>
        </w:rPr>
        <w:t xml:space="preserve"> А</w:t>
      </w:r>
      <w:r w:rsidR="008708A8">
        <w:rPr>
          <w:color w:val="000000" w:themeColor="text1"/>
        </w:rPr>
        <w:t>.</w:t>
      </w:r>
      <w:r w:rsidRPr="00B554D1">
        <w:rPr>
          <w:color w:val="000000" w:themeColor="text1"/>
        </w:rPr>
        <w:t>И. Диагностика и лечение кровопотери</w:t>
      </w:r>
      <w:r w:rsidR="005250EB">
        <w:rPr>
          <w:color w:val="000000" w:themeColor="text1"/>
        </w:rPr>
        <w:t xml:space="preserve">. </w:t>
      </w:r>
      <w:proofErr w:type="gramStart"/>
      <w:r w:rsidR="005250EB" w:rsidRPr="005250EB">
        <w:rPr>
          <w:color w:val="000000" w:themeColor="text1"/>
          <w:lang w:val="en-US"/>
        </w:rPr>
        <w:t>Л. :</w:t>
      </w:r>
      <w:proofErr w:type="gramEnd"/>
      <w:r w:rsidR="005250EB" w:rsidRPr="005250EB">
        <w:rPr>
          <w:color w:val="000000" w:themeColor="text1"/>
          <w:lang w:val="en-US"/>
        </w:rPr>
        <w:t xml:space="preserve"> </w:t>
      </w:r>
      <w:proofErr w:type="spellStart"/>
      <w:r w:rsidR="005250EB" w:rsidRPr="005250EB">
        <w:rPr>
          <w:color w:val="000000" w:themeColor="text1"/>
          <w:lang w:val="en-US"/>
        </w:rPr>
        <w:t>Медицина</w:t>
      </w:r>
      <w:proofErr w:type="spellEnd"/>
      <w:r w:rsidR="005250EB" w:rsidRPr="005250EB">
        <w:rPr>
          <w:color w:val="000000" w:themeColor="text1"/>
          <w:lang w:val="en-US"/>
        </w:rPr>
        <w:t>, 1982. - 224 с.</w:t>
      </w:r>
    </w:p>
    <w:p w14:paraId="1BD2F589" w14:textId="7741A428" w:rsidR="00C86EFA" w:rsidRPr="008156B7" w:rsidRDefault="0043750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</w:rPr>
        <w:t xml:space="preserve">Ивашкин В.Т., Шептулин А.А. Болезни пищевода, желудка и кишечника. </w:t>
      </w:r>
      <w:r w:rsidR="009028E3" w:rsidRPr="00B554D1">
        <w:rPr>
          <w:color w:val="000000" w:themeColor="text1"/>
        </w:rPr>
        <w:t xml:space="preserve">   </w:t>
      </w:r>
      <w:r w:rsidRPr="008156B7">
        <w:rPr>
          <w:color w:val="000000" w:themeColor="text1"/>
          <w:lang w:val="en-US"/>
        </w:rPr>
        <w:t xml:space="preserve">М.:   </w:t>
      </w:r>
    </w:p>
    <w:p w14:paraId="07225892" w14:textId="7BE721B3" w:rsidR="009028E3" w:rsidRPr="008156B7" w:rsidRDefault="00C86EFA" w:rsidP="008156B7">
      <w:pPr>
        <w:pStyle w:val="aff"/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8156B7">
        <w:rPr>
          <w:color w:val="000000" w:themeColor="text1"/>
          <w:lang w:val="en-US"/>
        </w:rPr>
        <w:t xml:space="preserve"> </w:t>
      </w:r>
      <w:proofErr w:type="spellStart"/>
      <w:r w:rsidR="0043750C" w:rsidRPr="008156B7">
        <w:rPr>
          <w:color w:val="000000" w:themeColor="text1"/>
          <w:lang w:val="en-US"/>
        </w:rPr>
        <w:t>МЕДпресс-информ</w:t>
      </w:r>
      <w:proofErr w:type="spellEnd"/>
      <w:r w:rsidR="0096626C">
        <w:rPr>
          <w:color w:val="000000" w:themeColor="text1"/>
        </w:rPr>
        <w:t>,</w:t>
      </w:r>
      <w:r w:rsidR="0043750C" w:rsidRPr="008156B7">
        <w:rPr>
          <w:color w:val="000000" w:themeColor="text1"/>
          <w:lang w:val="en-US"/>
        </w:rPr>
        <w:t xml:space="preserve"> 2009</w:t>
      </w:r>
      <w:r w:rsidR="0096626C">
        <w:rPr>
          <w:color w:val="000000" w:themeColor="text1"/>
        </w:rPr>
        <w:t>.</w:t>
      </w:r>
      <w:r w:rsidR="0096626C" w:rsidRPr="0096626C">
        <w:t xml:space="preserve"> </w:t>
      </w:r>
      <w:r w:rsidR="0096626C" w:rsidRPr="0096626C">
        <w:rPr>
          <w:color w:val="000000" w:themeColor="text1"/>
        </w:rPr>
        <w:t>— 176 с.  ISBN 5-98322-547-2.</w:t>
      </w:r>
      <w:r w:rsidR="0043750C" w:rsidRPr="008156B7">
        <w:rPr>
          <w:color w:val="000000" w:themeColor="text1"/>
          <w:lang w:val="en-US"/>
        </w:rPr>
        <w:t xml:space="preserve"> </w:t>
      </w:r>
    </w:p>
    <w:p w14:paraId="7FDC1FB6" w14:textId="77777777" w:rsidR="004F1AA0" w:rsidRPr="009352B1" w:rsidRDefault="004F1AA0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  <w:lang w:val="en-US"/>
        </w:rPr>
        <w:t xml:space="preserve">Tomizawa M, Shinozaki F, Hasegawa R, et al. Low hemoglobin levels are associated with upper gastrointestinal bleeding. </w:t>
      </w:r>
      <w:r w:rsidRPr="009352B1">
        <w:rPr>
          <w:color w:val="000000" w:themeColor="text1"/>
          <w:lang w:val="en-US"/>
        </w:rPr>
        <w:t>Biomed Rep. 2016;5(3):349-352. doi:10.3892/br.2016.727</w:t>
      </w:r>
    </w:p>
    <w:p w14:paraId="7A88E1F4" w14:textId="29073197" w:rsidR="0096626C" w:rsidRPr="009352B1" w:rsidRDefault="0096626C" w:rsidP="0096626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B554D1">
        <w:rPr>
          <w:color w:val="000000" w:themeColor="text1"/>
          <w:lang w:val="en-US"/>
        </w:rPr>
        <w:t>Tarasconi</w:t>
      </w:r>
      <w:proofErr w:type="spellEnd"/>
      <w:r w:rsidRPr="00B554D1">
        <w:rPr>
          <w:color w:val="000000" w:themeColor="text1"/>
          <w:lang w:val="en-US"/>
        </w:rPr>
        <w:t xml:space="preserve"> A, </w:t>
      </w:r>
      <w:proofErr w:type="spellStart"/>
      <w:r w:rsidRPr="00B554D1">
        <w:rPr>
          <w:color w:val="000000" w:themeColor="text1"/>
          <w:lang w:val="en-US"/>
        </w:rPr>
        <w:t>Coccolini</w:t>
      </w:r>
      <w:proofErr w:type="spellEnd"/>
      <w:r w:rsidRPr="00B554D1">
        <w:rPr>
          <w:color w:val="000000" w:themeColor="text1"/>
          <w:lang w:val="en-US"/>
        </w:rPr>
        <w:t xml:space="preserve"> F, </w:t>
      </w:r>
      <w:proofErr w:type="spellStart"/>
      <w:r w:rsidRPr="00B554D1">
        <w:rPr>
          <w:color w:val="000000" w:themeColor="text1"/>
          <w:lang w:val="en-US"/>
        </w:rPr>
        <w:t>Biffl</w:t>
      </w:r>
      <w:proofErr w:type="spellEnd"/>
      <w:r w:rsidRPr="00B554D1">
        <w:rPr>
          <w:color w:val="000000" w:themeColor="text1"/>
          <w:lang w:val="en-US"/>
        </w:rPr>
        <w:t xml:space="preserve"> WL, et al. Perforated and bleeding peptic ulcer: WSES guidelines. </w:t>
      </w:r>
      <w:r w:rsidRPr="00D92AE8">
        <w:rPr>
          <w:color w:val="000000" w:themeColor="text1"/>
          <w:lang w:val="en-US"/>
        </w:rPr>
        <w:t xml:space="preserve">World J Emerg Surg. </w:t>
      </w:r>
      <w:proofErr w:type="gramStart"/>
      <w:r w:rsidRPr="00D92AE8">
        <w:rPr>
          <w:color w:val="000000" w:themeColor="text1"/>
          <w:lang w:val="en-US"/>
        </w:rPr>
        <w:t>2020;15:3</w:t>
      </w:r>
      <w:proofErr w:type="gramEnd"/>
      <w:r w:rsidRPr="00D92AE8">
        <w:rPr>
          <w:color w:val="000000" w:themeColor="text1"/>
          <w:lang w:val="en-US"/>
        </w:rPr>
        <w:t xml:space="preserve">. </w:t>
      </w:r>
      <w:r w:rsidRPr="009352B1">
        <w:rPr>
          <w:color w:val="000000" w:themeColor="text1"/>
          <w:lang w:val="en-US"/>
        </w:rPr>
        <w:t>Published 2020 Jan 7. doi:10.1186/s13017-019-0283-9</w:t>
      </w:r>
      <w:r w:rsidR="008708A8" w:rsidRPr="009352B1">
        <w:rPr>
          <w:color w:val="000000" w:themeColor="text1"/>
          <w:lang w:val="en-US"/>
        </w:rPr>
        <w:t>.</w:t>
      </w:r>
    </w:p>
    <w:p w14:paraId="33850D7A" w14:textId="34C3DC98" w:rsidR="00B95718" w:rsidRPr="008708A8" w:rsidRDefault="00222D30" w:rsidP="008708A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proofErr w:type="spellStart"/>
      <w:r w:rsidRPr="00B554D1">
        <w:rPr>
          <w:color w:val="000000" w:themeColor="text1"/>
          <w:lang w:val="en-US"/>
        </w:rPr>
        <w:t>Rassameehiran</w:t>
      </w:r>
      <w:proofErr w:type="spellEnd"/>
      <w:r w:rsidRPr="00B554D1">
        <w:rPr>
          <w:color w:val="000000" w:themeColor="text1"/>
          <w:lang w:val="en-US"/>
        </w:rPr>
        <w:t xml:space="preserve"> S, </w:t>
      </w:r>
      <w:proofErr w:type="spellStart"/>
      <w:r w:rsidRPr="00B554D1">
        <w:rPr>
          <w:color w:val="000000" w:themeColor="text1"/>
          <w:lang w:val="en-US"/>
        </w:rPr>
        <w:t>Teerakanok</w:t>
      </w:r>
      <w:proofErr w:type="spellEnd"/>
      <w:r w:rsidRPr="00B554D1">
        <w:rPr>
          <w:color w:val="000000" w:themeColor="text1"/>
          <w:lang w:val="en-US"/>
        </w:rPr>
        <w:t xml:space="preserve"> J, </w:t>
      </w:r>
      <w:proofErr w:type="spellStart"/>
      <w:r w:rsidRPr="00B554D1">
        <w:rPr>
          <w:color w:val="000000" w:themeColor="text1"/>
          <w:lang w:val="en-US"/>
        </w:rPr>
        <w:t>Suchartlikitwong</w:t>
      </w:r>
      <w:proofErr w:type="spellEnd"/>
      <w:r w:rsidRPr="00B554D1">
        <w:rPr>
          <w:color w:val="000000" w:themeColor="text1"/>
          <w:lang w:val="en-US"/>
        </w:rPr>
        <w:t xml:space="preserve"> S, Nugent K. Utility of the Shock Index for Risk Stratification in Patients with Acute Upper Gastrointestinal Bleeding. </w:t>
      </w:r>
      <w:r w:rsidRPr="008708A8">
        <w:rPr>
          <w:color w:val="000000" w:themeColor="text1"/>
        </w:rPr>
        <w:t xml:space="preserve">South </w:t>
      </w:r>
      <w:proofErr w:type="spellStart"/>
      <w:r w:rsidRPr="008708A8">
        <w:rPr>
          <w:color w:val="000000" w:themeColor="text1"/>
        </w:rPr>
        <w:t>Med</w:t>
      </w:r>
      <w:proofErr w:type="spellEnd"/>
      <w:r w:rsidRPr="008708A8">
        <w:rPr>
          <w:color w:val="000000" w:themeColor="text1"/>
        </w:rPr>
        <w:t xml:space="preserve"> J. 2017;110(11):738-743. doi:10.14423/SMJ.0000000000000729. </w:t>
      </w:r>
      <w:r w:rsidR="00824295" w:rsidRPr="008708A8">
        <w:rPr>
          <w:color w:val="000000" w:themeColor="text1"/>
        </w:rPr>
        <w:tab/>
      </w:r>
    </w:p>
    <w:p w14:paraId="1262D89D" w14:textId="00A1A4C0" w:rsidR="00824295" w:rsidRPr="008708A8" w:rsidRDefault="004F1AA0" w:rsidP="008708A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B554D1">
        <w:rPr>
          <w:color w:val="000000" w:themeColor="text1"/>
          <w:lang w:val="en-US"/>
        </w:rPr>
        <w:t xml:space="preserve">Saltzman JR.  </w:t>
      </w:r>
      <w:r w:rsidR="00824295" w:rsidRPr="00B554D1">
        <w:rPr>
          <w:color w:val="000000" w:themeColor="text1"/>
          <w:lang w:val="en-US"/>
        </w:rPr>
        <w:t>Approach to acute upper gastrointestinal bleeding in adults</w:t>
      </w:r>
      <w:r w:rsidRPr="00B554D1">
        <w:rPr>
          <w:color w:val="000000" w:themeColor="text1"/>
          <w:lang w:val="en-US"/>
        </w:rPr>
        <w:t>.</w:t>
      </w:r>
      <w:r w:rsidR="00824295" w:rsidRPr="00B554D1">
        <w:rPr>
          <w:color w:val="000000" w:themeColor="text1"/>
          <w:lang w:val="en-US"/>
        </w:rPr>
        <w:t xml:space="preserve"> </w:t>
      </w:r>
      <w:r w:rsidR="00824295" w:rsidRPr="008708A8">
        <w:rPr>
          <w:color w:val="000000" w:themeColor="text1"/>
        </w:rPr>
        <w:t>20</w:t>
      </w:r>
      <w:r>
        <w:rPr>
          <w:color w:val="000000" w:themeColor="text1"/>
        </w:rPr>
        <w:t>24</w:t>
      </w:r>
      <w:r w:rsidR="00824295" w:rsidRPr="008708A8">
        <w:rPr>
          <w:color w:val="000000" w:themeColor="text1"/>
        </w:rPr>
        <w:t xml:space="preserve"> </w:t>
      </w:r>
      <w:proofErr w:type="spellStart"/>
      <w:r w:rsidR="00824295" w:rsidRPr="008708A8">
        <w:rPr>
          <w:color w:val="000000" w:themeColor="text1"/>
        </w:rPr>
        <w:t>UpToDate</w:t>
      </w:r>
      <w:proofErr w:type="spellEnd"/>
      <w:r w:rsidR="00824295" w:rsidRPr="008708A8">
        <w:rPr>
          <w:color w:val="000000" w:themeColor="text1"/>
        </w:rPr>
        <w:t>.</w:t>
      </w:r>
    </w:p>
    <w:p w14:paraId="72CF006E" w14:textId="014FFA60" w:rsidR="008708A8" w:rsidRPr="00D92AE8" w:rsidRDefault="008708A8" w:rsidP="008708A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  <w:lang w:val="en-US"/>
        </w:rPr>
        <w:t xml:space="preserve">Stanley AJ, Laine L, Dalton HR, et al. Comparison of risk scoring systems for patients presenting with upper gastrointestinal bleeding: international </w:t>
      </w:r>
      <w:proofErr w:type="spellStart"/>
      <w:r w:rsidRPr="00B554D1">
        <w:rPr>
          <w:color w:val="000000" w:themeColor="text1"/>
          <w:lang w:val="en-US"/>
        </w:rPr>
        <w:t>multicentre</w:t>
      </w:r>
      <w:proofErr w:type="spellEnd"/>
      <w:r w:rsidRPr="00B554D1">
        <w:rPr>
          <w:color w:val="000000" w:themeColor="text1"/>
          <w:lang w:val="en-US"/>
        </w:rPr>
        <w:t xml:space="preserve"> prospective study. </w:t>
      </w:r>
      <w:r w:rsidRPr="00D92AE8">
        <w:rPr>
          <w:color w:val="000000" w:themeColor="text1"/>
          <w:lang w:val="en-US"/>
        </w:rPr>
        <w:t>BMJ. 2017;</w:t>
      </w:r>
      <w:proofErr w:type="gramStart"/>
      <w:r w:rsidRPr="00D92AE8">
        <w:rPr>
          <w:color w:val="000000" w:themeColor="text1"/>
          <w:lang w:val="en-US"/>
        </w:rPr>
        <w:t>356:i</w:t>
      </w:r>
      <w:proofErr w:type="gramEnd"/>
      <w:r w:rsidRPr="00D92AE8">
        <w:rPr>
          <w:color w:val="000000" w:themeColor="text1"/>
          <w:lang w:val="en-US"/>
        </w:rPr>
        <w:t>6432. Published 2017 Jan 4. doi:10.1136/</w:t>
      </w:r>
      <w:proofErr w:type="gramStart"/>
      <w:r w:rsidRPr="00D92AE8">
        <w:rPr>
          <w:color w:val="000000" w:themeColor="text1"/>
          <w:lang w:val="en-US"/>
        </w:rPr>
        <w:t>bmj.i</w:t>
      </w:r>
      <w:proofErr w:type="gramEnd"/>
      <w:r w:rsidRPr="00D92AE8">
        <w:rPr>
          <w:color w:val="000000" w:themeColor="text1"/>
          <w:lang w:val="en-US"/>
        </w:rPr>
        <w:t>6432.</w:t>
      </w:r>
    </w:p>
    <w:p w14:paraId="6C7CD4C8" w14:textId="2088A9BE" w:rsidR="004A7914" w:rsidRPr="009352B1" w:rsidRDefault="008708A8" w:rsidP="008708A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  <w:lang w:val="en-US"/>
        </w:rPr>
        <w:t xml:space="preserve">Sung JJ, Chiu PW, Chan FKL, et al. Asia-Pacific working group consensus on non-variceal upper gastrointestinal bleeding: an update 2018 [published correction appears in Gut. 2019 Feb;68(2):380. </w:t>
      </w:r>
      <w:proofErr w:type="spellStart"/>
      <w:r w:rsidRPr="00B554D1">
        <w:rPr>
          <w:color w:val="000000" w:themeColor="text1"/>
          <w:lang w:val="en-US"/>
        </w:rPr>
        <w:t>doi</w:t>
      </w:r>
      <w:proofErr w:type="spellEnd"/>
      <w:r w:rsidRPr="00B554D1">
        <w:rPr>
          <w:color w:val="000000" w:themeColor="text1"/>
          <w:lang w:val="en-US"/>
        </w:rPr>
        <w:t xml:space="preserve">: 10.1136/gutjnl-2018-316276corr1]. </w:t>
      </w:r>
      <w:r w:rsidRPr="009352B1">
        <w:rPr>
          <w:color w:val="000000" w:themeColor="text1"/>
          <w:lang w:val="en-US"/>
        </w:rPr>
        <w:t>Gut. 2018;67(10):1757-1768. doi:10.1136/gutjnl-2018-316276.</w:t>
      </w:r>
    </w:p>
    <w:p w14:paraId="0BFBE496" w14:textId="151ED056" w:rsidR="00EB79FA" w:rsidRPr="008E5AA7" w:rsidRDefault="00110326" w:rsidP="00110326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  <w:lang w:val="en-US"/>
        </w:rPr>
        <w:t xml:space="preserve">Harewood GC, McConnell JP, Harrington JJ, Mahoney DW, Ahlquist DA. Detection of occult upper gastrointestinal tract bleeding: performance differences in fecal occult blood tests. </w:t>
      </w:r>
      <w:r w:rsidRPr="008E5AA7">
        <w:rPr>
          <w:color w:val="000000" w:themeColor="text1"/>
          <w:lang w:val="en-US"/>
        </w:rPr>
        <w:t>Mayo Clin Proc. 2002;77(1):23-28. doi:10.4065/77.1.23.</w:t>
      </w:r>
    </w:p>
    <w:p w14:paraId="597CFF92" w14:textId="4F0DF561" w:rsidR="00D9063D" w:rsidRPr="0059773E" w:rsidRDefault="0059773E" w:rsidP="0059773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B554D1">
        <w:rPr>
          <w:color w:val="000000" w:themeColor="text1"/>
          <w:lang w:val="en-US"/>
        </w:rPr>
        <w:t xml:space="preserve">Kim HU. Diagnostic and Treatment Approaches for Refractory Peptic Ulcers. </w:t>
      </w:r>
      <w:proofErr w:type="spellStart"/>
      <w:r w:rsidRPr="0059773E">
        <w:rPr>
          <w:color w:val="000000" w:themeColor="text1"/>
        </w:rPr>
        <w:t>Clin</w:t>
      </w:r>
      <w:proofErr w:type="spellEnd"/>
      <w:r w:rsidRPr="0059773E">
        <w:rPr>
          <w:color w:val="000000" w:themeColor="text1"/>
        </w:rPr>
        <w:t xml:space="preserve"> </w:t>
      </w:r>
      <w:proofErr w:type="spellStart"/>
      <w:r w:rsidRPr="0059773E">
        <w:rPr>
          <w:color w:val="000000" w:themeColor="text1"/>
        </w:rPr>
        <w:t>Endosc</w:t>
      </w:r>
      <w:proofErr w:type="spellEnd"/>
      <w:r w:rsidRPr="0059773E">
        <w:rPr>
          <w:color w:val="000000" w:themeColor="text1"/>
        </w:rPr>
        <w:t>. 2015;48(4):285-290. doi:10.5946/ce.2015.48.4.285</w:t>
      </w:r>
      <w:r>
        <w:rPr>
          <w:color w:val="000000" w:themeColor="text1"/>
        </w:rPr>
        <w:t>.</w:t>
      </w:r>
      <w:r w:rsidR="00D9063D" w:rsidRPr="0059773E">
        <w:rPr>
          <w:color w:val="000000" w:themeColor="text1"/>
        </w:rPr>
        <w:tab/>
      </w:r>
    </w:p>
    <w:p w14:paraId="2B655CE8" w14:textId="62554E61" w:rsidR="00013D7C" w:rsidRPr="003F0F9F" w:rsidRDefault="003F0F9F" w:rsidP="003F0F9F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B554D1">
        <w:rPr>
          <w:color w:val="000000" w:themeColor="text1"/>
          <w:lang w:val="en-US"/>
        </w:rPr>
        <w:t xml:space="preserve">Chandie Shaw MP, van </w:t>
      </w:r>
      <w:proofErr w:type="spellStart"/>
      <w:r w:rsidRPr="00B554D1">
        <w:rPr>
          <w:color w:val="000000" w:themeColor="text1"/>
          <w:lang w:val="en-US"/>
        </w:rPr>
        <w:t>Romunde</w:t>
      </w:r>
      <w:proofErr w:type="spellEnd"/>
      <w:r w:rsidRPr="00B554D1">
        <w:rPr>
          <w:color w:val="000000" w:themeColor="text1"/>
          <w:lang w:val="en-US"/>
        </w:rPr>
        <w:t xml:space="preserve"> LK, Griffioen G, Janssens AR, </w:t>
      </w:r>
      <w:proofErr w:type="spellStart"/>
      <w:r w:rsidRPr="00B554D1">
        <w:rPr>
          <w:color w:val="000000" w:themeColor="text1"/>
          <w:lang w:val="en-US"/>
        </w:rPr>
        <w:t>Kreuning</w:t>
      </w:r>
      <w:proofErr w:type="spellEnd"/>
      <w:r w:rsidRPr="00B554D1">
        <w:rPr>
          <w:color w:val="000000" w:themeColor="text1"/>
          <w:lang w:val="en-US"/>
        </w:rPr>
        <w:t xml:space="preserve"> J, Lamers CB. </w:t>
      </w:r>
      <w:proofErr w:type="spellStart"/>
      <w:r w:rsidRPr="00B554D1">
        <w:rPr>
          <w:color w:val="000000" w:themeColor="text1"/>
          <w:lang w:val="en-US"/>
        </w:rPr>
        <w:t>Vergelijking</w:t>
      </w:r>
      <w:proofErr w:type="spellEnd"/>
      <w:r w:rsidRPr="00B554D1">
        <w:rPr>
          <w:color w:val="000000" w:themeColor="text1"/>
          <w:lang w:val="en-US"/>
        </w:rPr>
        <w:t xml:space="preserve"> van </w:t>
      </w:r>
      <w:proofErr w:type="spellStart"/>
      <w:r w:rsidRPr="00B554D1">
        <w:rPr>
          <w:color w:val="000000" w:themeColor="text1"/>
          <w:lang w:val="en-US"/>
        </w:rPr>
        <w:t>bifasisch</w:t>
      </w:r>
      <w:proofErr w:type="spellEnd"/>
      <w:r w:rsidRPr="00B554D1">
        <w:rPr>
          <w:color w:val="000000" w:themeColor="text1"/>
          <w:lang w:val="en-US"/>
        </w:rPr>
        <w:t xml:space="preserve"> </w:t>
      </w:r>
      <w:proofErr w:type="spellStart"/>
      <w:r w:rsidRPr="00B554D1">
        <w:rPr>
          <w:color w:val="000000" w:themeColor="text1"/>
          <w:lang w:val="en-US"/>
        </w:rPr>
        <w:t>radiologisch</w:t>
      </w:r>
      <w:proofErr w:type="spellEnd"/>
      <w:r w:rsidRPr="00B554D1">
        <w:rPr>
          <w:color w:val="000000" w:themeColor="text1"/>
          <w:lang w:val="en-US"/>
        </w:rPr>
        <w:t xml:space="preserve"> </w:t>
      </w:r>
      <w:proofErr w:type="spellStart"/>
      <w:r w:rsidRPr="00B554D1">
        <w:rPr>
          <w:color w:val="000000" w:themeColor="text1"/>
          <w:lang w:val="en-US"/>
        </w:rPr>
        <w:t>maag-en</w:t>
      </w:r>
      <w:proofErr w:type="spellEnd"/>
      <w:r w:rsidRPr="00B554D1">
        <w:rPr>
          <w:color w:val="000000" w:themeColor="text1"/>
          <w:lang w:val="en-US"/>
        </w:rPr>
        <w:t xml:space="preserve"> </w:t>
      </w:r>
      <w:proofErr w:type="spellStart"/>
      <w:r w:rsidRPr="00B554D1">
        <w:rPr>
          <w:color w:val="000000" w:themeColor="text1"/>
          <w:lang w:val="en-US"/>
        </w:rPr>
        <w:t>duodenumonderzoek</w:t>
      </w:r>
      <w:proofErr w:type="spellEnd"/>
      <w:r w:rsidRPr="00B554D1">
        <w:rPr>
          <w:color w:val="000000" w:themeColor="text1"/>
          <w:lang w:val="en-US"/>
        </w:rPr>
        <w:t xml:space="preserve"> met </w:t>
      </w:r>
      <w:proofErr w:type="spellStart"/>
      <w:r w:rsidRPr="00B554D1">
        <w:rPr>
          <w:color w:val="000000" w:themeColor="text1"/>
          <w:lang w:val="en-US"/>
        </w:rPr>
        <w:t>fiberendoscopie</w:t>
      </w:r>
      <w:proofErr w:type="spellEnd"/>
      <w:r w:rsidRPr="00B554D1">
        <w:rPr>
          <w:color w:val="000000" w:themeColor="text1"/>
          <w:lang w:val="en-US"/>
        </w:rPr>
        <w:t xml:space="preserve"> </w:t>
      </w:r>
      <w:proofErr w:type="spellStart"/>
      <w:r w:rsidRPr="00B554D1">
        <w:rPr>
          <w:color w:val="000000" w:themeColor="text1"/>
          <w:lang w:val="en-US"/>
        </w:rPr>
        <w:t>voor</w:t>
      </w:r>
      <w:proofErr w:type="spellEnd"/>
      <w:r w:rsidRPr="00B554D1">
        <w:rPr>
          <w:color w:val="000000" w:themeColor="text1"/>
          <w:lang w:val="en-US"/>
        </w:rPr>
        <w:t xml:space="preserve"> de </w:t>
      </w:r>
      <w:proofErr w:type="spellStart"/>
      <w:r w:rsidRPr="00B554D1">
        <w:rPr>
          <w:color w:val="000000" w:themeColor="text1"/>
          <w:lang w:val="en-US"/>
        </w:rPr>
        <w:t>diagnostiek</w:t>
      </w:r>
      <w:proofErr w:type="spellEnd"/>
      <w:r w:rsidRPr="00B554D1">
        <w:rPr>
          <w:color w:val="000000" w:themeColor="text1"/>
          <w:lang w:val="en-US"/>
        </w:rPr>
        <w:t xml:space="preserve"> van </w:t>
      </w:r>
      <w:proofErr w:type="spellStart"/>
      <w:r w:rsidRPr="00B554D1">
        <w:rPr>
          <w:color w:val="000000" w:themeColor="text1"/>
          <w:lang w:val="en-US"/>
        </w:rPr>
        <w:t>peptische</w:t>
      </w:r>
      <w:proofErr w:type="spellEnd"/>
      <w:r w:rsidRPr="00B554D1">
        <w:rPr>
          <w:color w:val="000000" w:themeColor="text1"/>
          <w:lang w:val="en-US"/>
        </w:rPr>
        <w:t xml:space="preserve"> </w:t>
      </w:r>
      <w:proofErr w:type="spellStart"/>
      <w:r w:rsidRPr="00B554D1">
        <w:rPr>
          <w:color w:val="000000" w:themeColor="text1"/>
          <w:lang w:val="en-US"/>
        </w:rPr>
        <w:t>zweren</w:t>
      </w:r>
      <w:proofErr w:type="spellEnd"/>
      <w:r w:rsidRPr="00B554D1">
        <w:rPr>
          <w:color w:val="000000" w:themeColor="text1"/>
          <w:lang w:val="en-US"/>
        </w:rPr>
        <w:t xml:space="preserve"> </w:t>
      </w:r>
      <w:proofErr w:type="spellStart"/>
      <w:r w:rsidRPr="00B554D1">
        <w:rPr>
          <w:color w:val="000000" w:themeColor="text1"/>
          <w:lang w:val="en-US"/>
        </w:rPr>
        <w:t>en</w:t>
      </w:r>
      <w:proofErr w:type="spellEnd"/>
      <w:r w:rsidRPr="00B554D1">
        <w:rPr>
          <w:color w:val="000000" w:themeColor="text1"/>
          <w:lang w:val="en-US"/>
        </w:rPr>
        <w:t xml:space="preserve"> </w:t>
      </w:r>
      <w:proofErr w:type="spellStart"/>
      <w:r w:rsidRPr="00B554D1">
        <w:rPr>
          <w:color w:val="000000" w:themeColor="text1"/>
          <w:lang w:val="en-US"/>
        </w:rPr>
        <w:t>maagcarcinomen</w:t>
      </w:r>
      <w:proofErr w:type="spellEnd"/>
      <w:r w:rsidRPr="00B554D1">
        <w:rPr>
          <w:color w:val="000000" w:themeColor="text1"/>
          <w:lang w:val="en-US"/>
        </w:rPr>
        <w:t xml:space="preserve"> [Comparison of biphasic radiologic stomach and duodenum studies with fiber endoscopy for the diagnosis of peptic ulcer and stomach carcinoma]. </w:t>
      </w:r>
      <w:proofErr w:type="spellStart"/>
      <w:r w:rsidRPr="003F0F9F">
        <w:rPr>
          <w:color w:val="000000" w:themeColor="text1"/>
        </w:rPr>
        <w:t>Ned</w:t>
      </w:r>
      <w:proofErr w:type="spellEnd"/>
      <w:r w:rsidRPr="003F0F9F">
        <w:rPr>
          <w:color w:val="000000" w:themeColor="text1"/>
        </w:rPr>
        <w:t xml:space="preserve"> </w:t>
      </w:r>
      <w:proofErr w:type="spellStart"/>
      <w:r w:rsidRPr="003F0F9F">
        <w:rPr>
          <w:color w:val="000000" w:themeColor="text1"/>
        </w:rPr>
        <w:t>Tijdschr</w:t>
      </w:r>
      <w:proofErr w:type="spellEnd"/>
      <w:r w:rsidRPr="003F0F9F">
        <w:rPr>
          <w:color w:val="000000" w:themeColor="text1"/>
        </w:rPr>
        <w:t xml:space="preserve"> </w:t>
      </w:r>
      <w:proofErr w:type="spellStart"/>
      <w:r w:rsidRPr="003F0F9F">
        <w:rPr>
          <w:color w:val="000000" w:themeColor="text1"/>
        </w:rPr>
        <w:t>Geneeskd</w:t>
      </w:r>
      <w:proofErr w:type="spellEnd"/>
      <w:r w:rsidRPr="003F0F9F">
        <w:rPr>
          <w:color w:val="000000" w:themeColor="text1"/>
        </w:rPr>
        <w:t>. 1990;134(7):345-349.</w:t>
      </w:r>
    </w:p>
    <w:p w14:paraId="0A9436AD" w14:textId="15D65F77" w:rsidR="00585BB9" w:rsidRPr="00585BB9" w:rsidRDefault="00585BB9" w:rsidP="00585BB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B554D1">
        <w:rPr>
          <w:color w:val="000000" w:themeColor="text1"/>
          <w:lang w:val="en-US"/>
        </w:rPr>
        <w:lastRenderedPageBreak/>
        <w:t xml:space="preserve">Hunt BJ, Allard S, Keeling D, et al. A practical guideline for the </w:t>
      </w:r>
      <w:proofErr w:type="spellStart"/>
      <w:r w:rsidRPr="00B554D1">
        <w:rPr>
          <w:color w:val="000000" w:themeColor="text1"/>
          <w:lang w:val="en-US"/>
        </w:rPr>
        <w:t>haematological</w:t>
      </w:r>
      <w:proofErr w:type="spellEnd"/>
      <w:r w:rsidRPr="00B554D1">
        <w:rPr>
          <w:color w:val="000000" w:themeColor="text1"/>
          <w:lang w:val="en-US"/>
        </w:rPr>
        <w:t xml:space="preserve"> management of major </w:t>
      </w:r>
      <w:proofErr w:type="spellStart"/>
      <w:r w:rsidRPr="00B554D1">
        <w:rPr>
          <w:color w:val="000000" w:themeColor="text1"/>
          <w:lang w:val="en-US"/>
        </w:rPr>
        <w:t>haemorrhage</w:t>
      </w:r>
      <w:proofErr w:type="spellEnd"/>
      <w:r w:rsidRPr="00B554D1">
        <w:rPr>
          <w:color w:val="000000" w:themeColor="text1"/>
          <w:lang w:val="en-US"/>
        </w:rPr>
        <w:t xml:space="preserve">. </w:t>
      </w:r>
      <w:proofErr w:type="spellStart"/>
      <w:r w:rsidRPr="00585BB9">
        <w:rPr>
          <w:color w:val="000000" w:themeColor="text1"/>
        </w:rPr>
        <w:t>Br</w:t>
      </w:r>
      <w:proofErr w:type="spellEnd"/>
      <w:r w:rsidRPr="00585BB9">
        <w:rPr>
          <w:color w:val="000000" w:themeColor="text1"/>
        </w:rPr>
        <w:t xml:space="preserve"> J </w:t>
      </w:r>
      <w:proofErr w:type="spellStart"/>
      <w:r w:rsidRPr="00585BB9">
        <w:rPr>
          <w:color w:val="000000" w:themeColor="text1"/>
        </w:rPr>
        <w:t>Haematol</w:t>
      </w:r>
      <w:proofErr w:type="spellEnd"/>
      <w:r w:rsidRPr="00585BB9">
        <w:rPr>
          <w:color w:val="000000" w:themeColor="text1"/>
        </w:rPr>
        <w:t>. 2015;170(6):788-803. doi:10.1111/bjh.13580</w:t>
      </w:r>
      <w:r>
        <w:rPr>
          <w:color w:val="000000" w:themeColor="text1"/>
        </w:rPr>
        <w:t>.</w:t>
      </w:r>
    </w:p>
    <w:p w14:paraId="4DB8AA09" w14:textId="4D478407" w:rsidR="00585BB9" w:rsidRPr="00B554D1" w:rsidRDefault="00585BB9" w:rsidP="00585BB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B554D1">
        <w:rPr>
          <w:color w:val="000000" w:themeColor="text1"/>
          <w:lang w:val="en-US"/>
        </w:rPr>
        <w:t>Gralnek</w:t>
      </w:r>
      <w:proofErr w:type="spellEnd"/>
      <w:r w:rsidRPr="00B554D1">
        <w:rPr>
          <w:color w:val="000000" w:themeColor="text1"/>
          <w:lang w:val="en-US"/>
        </w:rPr>
        <w:t xml:space="preserve"> IM, </w:t>
      </w:r>
      <w:proofErr w:type="spellStart"/>
      <w:r w:rsidRPr="00B554D1">
        <w:rPr>
          <w:color w:val="000000" w:themeColor="text1"/>
          <w:lang w:val="en-US"/>
        </w:rPr>
        <w:t>Dumonceau</w:t>
      </w:r>
      <w:proofErr w:type="spellEnd"/>
      <w:r w:rsidRPr="00B554D1">
        <w:rPr>
          <w:color w:val="000000" w:themeColor="text1"/>
          <w:lang w:val="en-US"/>
        </w:rPr>
        <w:t xml:space="preserve"> JM, Kuipers EJ, et al. Diagnosis and management of nonvariceal upper gastrointestinal hemorrhage: European Society of Gastrointestinal Endoscopy (ESGE) Guideline. Endoscopy. 2015;47(10</w:t>
      </w:r>
      <w:proofErr w:type="gramStart"/>
      <w:r w:rsidRPr="00B554D1">
        <w:rPr>
          <w:color w:val="000000" w:themeColor="text1"/>
          <w:lang w:val="en-US"/>
        </w:rPr>
        <w:t>):a</w:t>
      </w:r>
      <w:proofErr w:type="gramEnd"/>
      <w:r w:rsidRPr="00B554D1">
        <w:rPr>
          <w:color w:val="000000" w:themeColor="text1"/>
          <w:lang w:val="en-US"/>
        </w:rPr>
        <w:t>1-a46. doi:10.1055/s-0034-1393172.</w:t>
      </w:r>
    </w:p>
    <w:p w14:paraId="2212C65C" w14:textId="2D62CA19" w:rsidR="00D0130E" w:rsidRPr="009352B1" w:rsidRDefault="00195870" w:rsidP="0019587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B554D1">
        <w:rPr>
          <w:color w:val="000000" w:themeColor="text1"/>
          <w:lang w:val="en-US"/>
        </w:rPr>
        <w:t>Malfertheiner</w:t>
      </w:r>
      <w:proofErr w:type="spellEnd"/>
      <w:r w:rsidRPr="00B554D1">
        <w:rPr>
          <w:color w:val="000000" w:themeColor="text1"/>
          <w:lang w:val="en-US"/>
        </w:rPr>
        <w:t xml:space="preserve"> P, </w:t>
      </w:r>
      <w:proofErr w:type="spellStart"/>
      <w:r w:rsidRPr="00B554D1">
        <w:rPr>
          <w:color w:val="000000" w:themeColor="text1"/>
          <w:lang w:val="en-US"/>
        </w:rPr>
        <w:t>Megraud</w:t>
      </w:r>
      <w:proofErr w:type="spellEnd"/>
      <w:r w:rsidRPr="00B554D1">
        <w:rPr>
          <w:color w:val="000000" w:themeColor="text1"/>
          <w:lang w:val="en-US"/>
        </w:rPr>
        <w:t xml:space="preserve"> F, </w:t>
      </w:r>
      <w:proofErr w:type="spellStart"/>
      <w:r w:rsidRPr="00B554D1">
        <w:rPr>
          <w:color w:val="000000" w:themeColor="text1"/>
          <w:lang w:val="en-US"/>
        </w:rPr>
        <w:t>Rokkas</w:t>
      </w:r>
      <w:proofErr w:type="spellEnd"/>
      <w:r w:rsidRPr="00B554D1">
        <w:rPr>
          <w:color w:val="000000" w:themeColor="text1"/>
          <w:lang w:val="en-US"/>
        </w:rPr>
        <w:t xml:space="preserve"> T, et al. Management of Helicobacter pylori infection: the Maastricht VI/Florence consensus report. </w:t>
      </w:r>
      <w:r w:rsidRPr="009352B1">
        <w:rPr>
          <w:color w:val="000000" w:themeColor="text1"/>
          <w:lang w:val="en-US"/>
        </w:rPr>
        <w:t>Gut. Published online August 8, 2022. doi:10.1136/gutjnl-2022-327745.</w:t>
      </w:r>
    </w:p>
    <w:p w14:paraId="678AEDAA" w14:textId="54B314D0" w:rsidR="0004772B" w:rsidRPr="00B554D1" w:rsidRDefault="0004772B" w:rsidP="0004772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  <w:lang w:val="en-US"/>
        </w:rPr>
        <w:t xml:space="preserve">Best LM, </w:t>
      </w:r>
      <w:proofErr w:type="spellStart"/>
      <w:r w:rsidRPr="00B554D1">
        <w:rPr>
          <w:color w:val="000000" w:themeColor="text1"/>
          <w:lang w:val="en-US"/>
        </w:rPr>
        <w:t>Takwoingi</w:t>
      </w:r>
      <w:proofErr w:type="spellEnd"/>
      <w:r w:rsidRPr="00B554D1">
        <w:rPr>
          <w:color w:val="000000" w:themeColor="text1"/>
          <w:lang w:val="en-US"/>
        </w:rPr>
        <w:t xml:space="preserve"> Y, Siddique S, et al. Non-invasive diagnostic tests for Helicobacter pylori infection. Cochrane Database Syst Rev. 2018;3(3):CD012080. Published 2018 Mar 15. </w:t>
      </w:r>
      <w:proofErr w:type="gramStart"/>
      <w:r w:rsidRPr="00B554D1">
        <w:rPr>
          <w:color w:val="000000" w:themeColor="text1"/>
          <w:lang w:val="en-US"/>
        </w:rPr>
        <w:t>doi:10.1002/14651858.CD012080.pub2</w:t>
      </w:r>
      <w:proofErr w:type="gramEnd"/>
      <w:r w:rsidRPr="00B554D1">
        <w:rPr>
          <w:color w:val="000000" w:themeColor="text1"/>
          <w:lang w:val="en-US"/>
        </w:rPr>
        <w:t>.</w:t>
      </w:r>
    </w:p>
    <w:p w14:paraId="1D0F1E8D" w14:textId="77777777" w:rsidR="00CC0FF6" w:rsidRDefault="0042695E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B554D1">
        <w:rPr>
          <w:color w:val="000000" w:themeColor="text1"/>
          <w:lang w:val="en-US"/>
        </w:rPr>
        <w:t xml:space="preserve">Jiang M, Chen P, Gao Q. Systematic Review and Net-Work Meta-Analysis of Upper Gastrointestinal Hemorrhage Interventions. </w:t>
      </w:r>
      <w:r w:rsidRPr="0042695E">
        <w:rPr>
          <w:color w:val="000000" w:themeColor="text1"/>
        </w:rPr>
        <w:t xml:space="preserve">Cell </w:t>
      </w:r>
      <w:proofErr w:type="spellStart"/>
      <w:r w:rsidRPr="0042695E">
        <w:rPr>
          <w:color w:val="000000" w:themeColor="text1"/>
        </w:rPr>
        <w:t>Physiol</w:t>
      </w:r>
      <w:proofErr w:type="spellEnd"/>
      <w:r w:rsidRPr="0042695E">
        <w:rPr>
          <w:color w:val="000000" w:themeColor="text1"/>
        </w:rPr>
        <w:t xml:space="preserve"> </w:t>
      </w:r>
      <w:proofErr w:type="spellStart"/>
      <w:r w:rsidRPr="0042695E">
        <w:rPr>
          <w:color w:val="000000" w:themeColor="text1"/>
        </w:rPr>
        <w:t>Biochem</w:t>
      </w:r>
      <w:proofErr w:type="spellEnd"/>
      <w:r w:rsidRPr="0042695E">
        <w:rPr>
          <w:color w:val="000000" w:themeColor="text1"/>
        </w:rPr>
        <w:t>. 2016;39(6):2477-2491. doi:10.1159/000452515</w:t>
      </w:r>
      <w:r>
        <w:rPr>
          <w:color w:val="000000" w:themeColor="text1"/>
        </w:rPr>
        <w:t>.</w:t>
      </w:r>
    </w:p>
    <w:p w14:paraId="16D74137" w14:textId="7102B6D0" w:rsidR="004C7403" w:rsidRPr="00CC0FF6" w:rsidRDefault="00CC0FF6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CC0FF6">
        <w:rPr>
          <w:color w:val="000000" w:themeColor="text1"/>
          <w:lang w:val="en-US"/>
        </w:rPr>
        <w:t xml:space="preserve">Gisbert JP, Khorrami S, Carballo F, Calvet X, </w:t>
      </w:r>
      <w:proofErr w:type="spellStart"/>
      <w:r w:rsidRPr="00CC0FF6">
        <w:rPr>
          <w:color w:val="000000" w:themeColor="text1"/>
          <w:lang w:val="en-US"/>
        </w:rPr>
        <w:t>Gené</w:t>
      </w:r>
      <w:proofErr w:type="spellEnd"/>
      <w:r w:rsidRPr="00CC0FF6">
        <w:rPr>
          <w:color w:val="000000" w:themeColor="text1"/>
          <w:lang w:val="en-US"/>
        </w:rPr>
        <w:t xml:space="preserve"> E, Dominguez-Muñoz JE. H. pylori eradication therapy vs. antisecretory non-eradication therapy (with or without long-term maintenance antisecretory therapy) for the prevention of recurrent bleeding from peptic ulcer. Cochrane Database Syst Rev. 2004;(2):CD004062. </w:t>
      </w:r>
      <w:proofErr w:type="gramStart"/>
      <w:r w:rsidRPr="00CC0FF6">
        <w:rPr>
          <w:color w:val="000000" w:themeColor="text1"/>
          <w:lang w:val="en-US"/>
        </w:rPr>
        <w:t>doi:10.1002/14651858.CD004062.pub2</w:t>
      </w:r>
      <w:proofErr w:type="gramEnd"/>
      <w:r>
        <w:rPr>
          <w:color w:val="000000" w:themeColor="text1"/>
        </w:rPr>
        <w:t>.</w:t>
      </w:r>
    </w:p>
    <w:p w14:paraId="4EA37B10" w14:textId="34B245C1" w:rsidR="00CC0FF6" w:rsidRPr="00CC0FF6" w:rsidRDefault="00CC0FF6" w:rsidP="00CC0FF6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CC0FF6">
        <w:rPr>
          <w:color w:val="000000" w:themeColor="text1"/>
          <w:lang w:val="en-US"/>
        </w:rPr>
        <w:t>Malfertheiner</w:t>
      </w:r>
      <w:proofErr w:type="spellEnd"/>
      <w:r w:rsidRPr="00CC0FF6">
        <w:rPr>
          <w:color w:val="000000" w:themeColor="text1"/>
          <w:lang w:val="en-US"/>
        </w:rPr>
        <w:t xml:space="preserve"> P, </w:t>
      </w:r>
      <w:proofErr w:type="spellStart"/>
      <w:r w:rsidRPr="00CC0FF6">
        <w:rPr>
          <w:color w:val="000000" w:themeColor="text1"/>
          <w:lang w:val="en-US"/>
        </w:rPr>
        <w:t>Megraud</w:t>
      </w:r>
      <w:proofErr w:type="spellEnd"/>
      <w:r w:rsidRPr="00CC0FF6">
        <w:rPr>
          <w:color w:val="000000" w:themeColor="text1"/>
          <w:lang w:val="en-US"/>
        </w:rPr>
        <w:t xml:space="preserve"> F, </w:t>
      </w:r>
      <w:proofErr w:type="spellStart"/>
      <w:r w:rsidRPr="00CC0FF6">
        <w:rPr>
          <w:color w:val="000000" w:themeColor="text1"/>
          <w:lang w:val="en-US"/>
        </w:rPr>
        <w:t>O'Morain</w:t>
      </w:r>
      <w:proofErr w:type="spellEnd"/>
      <w:r w:rsidRPr="00CC0FF6">
        <w:rPr>
          <w:color w:val="000000" w:themeColor="text1"/>
          <w:lang w:val="en-US"/>
        </w:rPr>
        <w:t xml:space="preserve"> CA, et al. Management of Helicobacter pylori infection-the Maastricht V/Florence Consensus Report. Gut. 2017;66(1):6-30. doi:10.1136/gutjnl-2016-312288.</w:t>
      </w:r>
    </w:p>
    <w:p w14:paraId="6581FB8E" w14:textId="7FC216CF" w:rsidR="000C5530" w:rsidRPr="008156B7" w:rsidRDefault="009C3531" w:rsidP="009C353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9C3531">
        <w:rPr>
          <w:color w:val="000000" w:themeColor="text1"/>
          <w:lang w:val="en-US"/>
        </w:rPr>
        <w:t xml:space="preserve">Vomero ND, Colpo E. Nutritional care in peptic ulcer. </w:t>
      </w:r>
      <w:proofErr w:type="spellStart"/>
      <w:r w:rsidRPr="009C3531">
        <w:rPr>
          <w:color w:val="000000" w:themeColor="text1"/>
          <w:lang w:val="en-US"/>
        </w:rPr>
        <w:t>Arq</w:t>
      </w:r>
      <w:proofErr w:type="spellEnd"/>
      <w:r w:rsidRPr="009C3531">
        <w:rPr>
          <w:color w:val="000000" w:themeColor="text1"/>
          <w:lang w:val="en-US"/>
        </w:rPr>
        <w:t xml:space="preserve"> Bras Cir Dig. 2014;27(4):298-302. doi:10.1590/S0102-67202014000400017</w:t>
      </w:r>
      <w:r w:rsidR="004C7403" w:rsidRPr="008156B7">
        <w:rPr>
          <w:color w:val="000000" w:themeColor="text1"/>
          <w:lang w:val="en-US"/>
        </w:rPr>
        <w:t>.</w:t>
      </w:r>
    </w:p>
    <w:p w14:paraId="43DE2914" w14:textId="77777777" w:rsidR="006C2442" w:rsidRPr="006C2442" w:rsidRDefault="009C3531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9C3531">
        <w:rPr>
          <w:color w:val="000000" w:themeColor="text1"/>
          <w:lang w:val="en-US"/>
        </w:rPr>
        <w:t>Burget DW, Chiverton SG, Hunt RH. Is there an optimal degree of acid suppression for healing of duodenal ulcers? A model of the relationship between ulcer healing and acid suppression. Gastroenterology. 1990;99(2):345-351. doi:10.1016/0016-5085(90)91015-x.</w:t>
      </w:r>
    </w:p>
    <w:p w14:paraId="6EC1D0E1" w14:textId="77777777" w:rsidR="006C2442" w:rsidRPr="006C2442" w:rsidRDefault="006C2442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6C2442">
        <w:rPr>
          <w:color w:val="000000" w:themeColor="text1"/>
          <w:lang w:val="en-US"/>
        </w:rPr>
        <w:t xml:space="preserve">Scally B, Emberson JR, Spata E, et al. Effects of </w:t>
      </w:r>
      <w:proofErr w:type="spellStart"/>
      <w:r w:rsidRPr="006C2442">
        <w:rPr>
          <w:color w:val="000000" w:themeColor="text1"/>
          <w:lang w:val="en-US"/>
        </w:rPr>
        <w:t>gastroprotectant</w:t>
      </w:r>
      <w:proofErr w:type="spellEnd"/>
      <w:r w:rsidRPr="006C2442">
        <w:rPr>
          <w:color w:val="000000" w:themeColor="text1"/>
          <w:lang w:val="en-US"/>
        </w:rPr>
        <w:t xml:space="preserve"> drugs for the prevention and treatment of peptic ulcer disease and its complications: a meta-analysis of </w:t>
      </w:r>
      <w:proofErr w:type="spellStart"/>
      <w:r w:rsidRPr="006C2442">
        <w:rPr>
          <w:color w:val="000000" w:themeColor="text1"/>
          <w:lang w:val="en-US"/>
        </w:rPr>
        <w:t>randomised</w:t>
      </w:r>
      <w:proofErr w:type="spellEnd"/>
      <w:r w:rsidRPr="006C2442">
        <w:rPr>
          <w:color w:val="000000" w:themeColor="text1"/>
          <w:lang w:val="en-US"/>
        </w:rPr>
        <w:t xml:space="preserve"> trials. Lancet Gastroenterol Hepatol. 2018;3(4):231-241. doi:10.1016/S2468-1253(18)30037-2</w:t>
      </w:r>
      <w:r w:rsidRPr="009352B1">
        <w:rPr>
          <w:color w:val="000000" w:themeColor="text1"/>
          <w:lang w:val="en-US"/>
        </w:rPr>
        <w:t>.</w:t>
      </w:r>
      <w:r w:rsidR="001740F0" w:rsidRPr="006C2442">
        <w:rPr>
          <w:color w:val="000000" w:themeColor="text1"/>
          <w:lang w:val="en-US"/>
        </w:rPr>
        <w:t xml:space="preserve">      </w:t>
      </w:r>
    </w:p>
    <w:p w14:paraId="7ECAD670" w14:textId="77777777" w:rsidR="00763FB1" w:rsidRPr="00763FB1" w:rsidRDefault="006C2442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6C2442">
        <w:rPr>
          <w:color w:val="000000" w:themeColor="text1"/>
          <w:lang w:val="en-US"/>
        </w:rPr>
        <w:t>Poynard</w:t>
      </w:r>
      <w:proofErr w:type="spellEnd"/>
      <w:r w:rsidRPr="006C2442">
        <w:rPr>
          <w:color w:val="000000" w:themeColor="text1"/>
          <w:lang w:val="en-US"/>
        </w:rPr>
        <w:t xml:space="preserve"> T, Lemaire M, Agostini H. Meta-analysis of randomized clinical trials comparing lansoprazole with ranitidine or famotidine in the treatment of acute duodenal ulcer. Eur J Gastroenterol Hepatol. 1995;7(7):661-665.</w:t>
      </w:r>
      <w:r w:rsidR="001740F0" w:rsidRPr="006C2442">
        <w:rPr>
          <w:color w:val="000000" w:themeColor="text1"/>
          <w:lang w:val="en-US"/>
        </w:rPr>
        <w:tab/>
      </w:r>
      <w:r w:rsidR="001740F0" w:rsidRPr="006C2442">
        <w:rPr>
          <w:color w:val="000000" w:themeColor="text1"/>
          <w:lang w:val="en-US"/>
        </w:rPr>
        <w:tab/>
      </w:r>
      <w:r w:rsidR="001740F0" w:rsidRPr="006C2442">
        <w:rPr>
          <w:color w:val="000000" w:themeColor="text1"/>
          <w:lang w:val="en-US"/>
        </w:rPr>
        <w:tab/>
      </w:r>
      <w:r w:rsidR="001740F0" w:rsidRPr="006C2442">
        <w:rPr>
          <w:color w:val="000000" w:themeColor="text1"/>
          <w:lang w:val="en-US"/>
        </w:rPr>
        <w:tab/>
      </w:r>
    </w:p>
    <w:p w14:paraId="7A73D30A" w14:textId="77777777" w:rsidR="00C90D82" w:rsidRPr="00C90D82" w:rsidRDefault="00763FB1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763FB1">
        <w:rPr>
          <w:color w:val="000000" w:themeColor="text1"/>
          <w:lang w:val="en-US"/>
        </w:rPr>
        <w:t xml:space="preserve">Hu ZH, Shi AM, Hu DM, Bao JJ. Efficacy of proton pump inhibitors for patients with duodenal ulcers: A pairwise and network meta-analysis of randomized controlled trials [published </w:t>
      </w:r>
      <w:r w:rsidRPr="00763FB1">
        <w:rPr>
          <w:color w:val="000000" w:themeColor="text1"/>
          <w:lang w:val="en-US"/>
        </w:rPr>
        <w:lastRenderedPageBreak/>
        <w:t xml:space="preserve">correction appears in Saudi J Gastroenterol. 2017 Mar-Apr;23(2):130. </w:t>
      </w:r>
      <w:proofErr w:type="spellStart"/>
      <w:r w:rsidRPr="00763FB1">
        <w:rPr>
          <w:color w:val="000000" w:themeColor="text1"/>
          <w:lang w:val="en-US"/>
        </w:rPr>
        <w:t>doi</w:t>
      </w:r>
      <w:proofErr w:type="spellEnd"/>
      <w:r w:rsidRPr="00763FB1">
        <w:rPr>
          <w:color w:val="000000" w:themeColor="text1"/>
          <w:lang w:val="en-US"/>
        </w:rPr>
        <w:t>: 10.4103/1319-3767.203367]. Saudi J Gastroenterol. 2017;23(1):11-19. doi:10.4103/1319-3767.199117</w:t>
      </w:r>
      <w:r w:rsidRPr="00763FB1">
        <w:rPr>
          <w:color w:val="000000" w:themeColor="text1"/>
        </w:rPr>
        <w:t>.</w:t>
      </w:r>
    </w:p>
    <w:p w14:paraId="168460A5" w14:textId="77777777" w:rsidR="00C90D82" w:rsidRPr="00C90D82" w:rsidRDefault="00C90D82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C90D82">
        <w:rPr>
          <w:color w:val="000000" w:themeColor="text1"/>
          <w:lang w:val="en-US"/>
        </w:rPr>
        <w:t>Terano</w:t>
      </w:r>
      <w:proofErr w:type="spellEnd"/>
      <w:r w:rsidRPr="00C90D82">
        <w:rPr>
          <w:color w:val="000000" w:themeColor="text1"/>
          <w:lang w:val="en-US"/>
        </w:rPr>
        <w:t xml:space="preserve"> A, Arakawa T, Sugiyama T, et al. </w:t>
      </w:r>
      <w:proofErr w:type="spellStart"/>
      <w:r w:rsidRPr="00C90D82">
        <w:rPr>
          <w:color w:val="000000" w:themeColor="text1"/>
          <w:lang w:val="en-US"/>
        </w:rPr>
        <w:t>Rebamipide</w:t>
      </w:r>
      <w:proofErr w:type="spellEnd"/>
      <w:r w:rsidRPr="00C90D82">
        <w:rPr>
          <w:color w:val="000000" w:themeColor="text1"/>
          <w:lang w:val="en-US"/>
        </w:rPr>
        <w:t>, a gastro-protective and anti-inflammatory drug, promotes gastric ulcer healing following eradication therapy for Helicobacter pylori in a Japanese population: a randomized, double-blind, placebo-controlled trial. J Gastroenterol. 2007;42(8):690-693. doi:10.1007/s00535-007-2076-2</w:t>
      </w:r>
      <w:r w:rsidRPr="009352B1">
        <w:rPr>
          <w:color w:val="000000" w:themeColor="text1"/>
          <w:lang w:val="en-US"/>
        </w:rPr>
        <w:t>.</w:t>
      </w:r>
      <w:r w:rsidR="009159F9" w:rsidRPr="00C90D82">
        <w:rPr>
          <w:color w:val="000000" w:themeColor="text1"/>
          <w:lang w:val="en-US"/>
        </w:rPr>
        <w:tab/>
      </w:r>
      <w:r w:rsidR="009159F9" w:rsidRPr="00C90D82">
        <w:rPr>
          <w:color w:val="000000" w:themeColor="text1"/>
          <w:lang w:val="en-US"/>
        </w:rPr>
        <w:tab/>
      </w:r>
      <w:r w:rsidR="009159F9" w:rsidRPr="00C90D82">
        <w:rPr>
          <w:color w:val="000000" w:themeColor="text1"/>
          <w:lang w:val="en-US"/>
        </w:rPr>
        <w:tab/>
      </w:r>
    </w:p>
    <w:p w14:paraId="3DA1CA78" w14:textId="77777777" w:rsidR="006E4623" w:rsidRPr="006E4623" w:rsidRDefault="00C90D82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C90D82">
        <w:rPr>
          <w:color w:val="000000" w:themeColor="text1"/>
          <w:lang w:val="en-US"/>
        </w:rPr>
        <w:t xml:space="preserve">Song KH, Lee YC, Fan DM, et al. Healing effects of </w:t>
      </w:r>
      <w:proofErr w:type="spellStart"/>
      <w:r w:rsidRPr="00C90D82">
        <w:rPr>
          <w:color w:val="000000" w:themeColor="text1"/>
          <w:lang w:val="en-US"/>
        </w:rPr>
        <w:t>rebamipide</w:t>
      </w:r>
      <w:proofErr w:type="spellEnd"/>
      <w:r w:rsidRPr="00C90D82">
        <w:rPr>
          <w:color w:val="000000" w:themeColor="text1"/>
          <w:lang w:val="en-US"/>
        </w:rPr>
        <w:t xml:space="preserve"> and omeprazole in Helicobacter pylori-positive gastric ulcer patients after eradication therapy: a randomized double-blind, multinational, multi-institutional comparative study. Digestion. 2011;84(3):221-229. doi:10.1159/000329353</w:t>
      </w:r>
      <w:r w:rsidRPr="009352B1">
        <w:rPr>
          <w:color w:val="000000" w:themeColor="text1"/>
          <w:lang w:val="en-US"/>
        </w:rPr>
        <w:t>.</w:t>
      </w:r>
    </w:p>
    <w:p w14:paraId="5AB73292" w14:textId="77777777" w:rsidR="006E4623" w:rsidRPr="006E4623" w:rsidRDefault="006E4623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6E4623">
        <w:rPr>
          <w:color w:val="000000" w:themeColor="text1"/>
          <w:lang w:val="en-US"/>
        </w:rPr>
        <w:t xml:space="preserve">Ford AC, Gurusamy KS, Delaney B, Forman D, </w:t>
      </w:r>
      <w:proofErr w:type="spellStart"/>
      <w:r w:rsidRPr="006E4623">
        <w:rPr>
          <w:color w:val="000000" w:themeColor="text1"/>
          <w:lang w:val="en-US"/>
        </w:rPr>
        <w:t>Moayyedi</w:t>
      </w:r>
      <w:proofErr w:type="spellEnd"/>
      <w:r w:rsidRPr="006E4623">
        <w:rPr>
          <w:color w:val="000000" w:themeColor="text1"/>
          <w:lang w:val="en-US"/>
        </w:rPr>
        <w:t xml:space="preserve"> P. Eradication therapy for peptic ulcer disease in Helicobacter pylori-positive people. Cochrane Database Syst Rev. 2016;4(4):CD003840. Published 2016 Apr 19. </w:t>
      </w:r>
      <w:proofErr w:type="gramStart"/>
      <w:r w:rsidRPr="006E4623">
        <w:rPr>
          <w:color w:val="000000" w:themeColor="text1"/>
          <w:lang w:val="en-US"/>
        </w:rPr>
        <w:t>doi:10.1002/14651858.CD003840.pub5</w:t>
      </w:r>
      <w:proofErr w:type="gramEnd"/>
      <w:r w:rsidRPr="006E4623">
        <w:rPr>
          <w:color w:val="000000" w:themeColor="text1"/>
          <w:lang w:val="en-US"/>
        </w:rPr>
        <w:t>.</w:t>
      </w:r>
      <w:r w:rsidR="00596795" w:rsidRPr="006E4623">
        <w:rPr>
          <w:color w:val="000000" w:themeColor="text1"/>
          <w:lang w:val="en-US"/>
        </w:rPr>
        <w:tab/>
      </w:r>
    </w:p>
    <w:p w14:paraId="4DC0FDC7" w14:textId="58FC1B7B" w:rsidR="006E4623" w:rsidRPr="006E4623" w:rsidRDefault="006E4623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6E4623">
        <w:rPr>
          <w:color w:val="000000" w:themeColor="text1"/>
          <w:lang w:val="en-US"/>
        </w:rPr>
        <w:t xml:space="preserve">Wong CS, Chia CF, Lee HC, et al. Eradication of Helicobacter pylori for prevention of ulcer recurrence after simple closure of perforated peptic ulcer: a meta-analysis of randomized controlled trials. J Surg Res. 2013;182(2):219-226. </w:t>
      </w:r>
      <w:proofErr w:type="gramStart"/>
      <w:r w:rsidRPr="006E4623">
        <w:rPr>
          <w:color w:val="000000" w:themeColor="text1"/>
          <w:lang w:val="en-US"/>
        </w:rPr>
        <w:t>doi:10.1016/j.jss</w:t>
      </w:r>
      <w:proofErr w:type="gramEnd"/>
      <w:r w:rsidRPr="006E4623">
        <w:rPr>
          <w:color w:val="000000" w:themeColor="text1"/>
          <w:lang w:val="en-US"/>
        </w:rPr>
        <w:t>.2012.10.046</w:t>
      </w:r>
      <w:r w:rsidRPr="00D92AE8">
        <w:rPr>
          <w:color w:val="000000" w:themeColor="text1"/>
          <w:lang w:val="en-US"/>
        </w:rPr>
        <w:t>.</w:t>
      </w:r>
    </w:p>
    <w:p w14:paraId="0626AECB" w14:textId="0C4D9B53" w:rsidR="006E4623" w:rsidRPr="006E4623" w:rsidRDefault="006E4623" w:rsidP="006E4623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6E4623">
        <w:rPr>
          <w:color w:val="000000" w:themeColor="text1"/>
          <w:lang w:val="en-US"/>
        </w:rPr>
        <w:t>Ивашкин</w:t>
      </w:r>
      <w:proofErr w:type="spellEnd"/>
      <w:r w:rsidRPr="006E4623">
        <w:rPr>
          <w:color w:val="000000" w:themeColor="text1"/>
          <w:lang w:val="en-US"/>
        </w:rPr>
        <w:t xml:space="preserve"> В.Т., </w:t>
      </w:r>
      <w:proofErr w:type="spellStart"/>
      <w:r w:rsidRPr="006E4623">
        <w:rPr>
          <w:color w:val="000000" w:themeColor="text1"/>
          <w:lang w:val="en-US"/>
        </w:rPr>
        <w:t>Маев</w:t>
      </w:r>
      <w:proofErr w:type="spellEnd"/>
      <w:r w:rsidRPr="006E4623">
        <w:rPr>
          <w:color w:val="000000" w:themeColor="text1"/>
          <w:lang w:val="en-US"/>
        </w:rPr>
        <w:t xml:space="preserve"> И.В., </w:t>
      </w:r>
      <w:proofErr w:type="spellStart"/>
      <w:r w:rsidRPr="006E4623">
        <w:rPr>
          <w:color w:val="000000" w:themeColor="text1"/>
          <w:lang w:val="en-US"/>
        </w:rPr>
        <w:t>Лапина</w:t>
      </w:r>
      <w:proofErr w:type="spellEnd"/>
      <w:r w:rsidRPr="006E4623">
        <w:rPr>
          <w:color w:val="000000" w:themeColor="text1"/>
          <w:lang w:val="en-US"/>
        </w:rPr>
        <w:t xml:space="preserve"> Т.Л., </w:t>
      </w:r>
      <w:proofErr w:type="spellStart"/>
      <w:r w:rsidRPr="006E4623">
        <w:rPr>
          <w:color w:val="000000" w:themeColor="text1"/>
          <w:lang w:val="en-US"/>
        </w:rPr>
        <w:t>Шептулин</w:t>
      </w:r>
      <w:proofErr w:type="spellEnd"/>
      <w:r w:rsidRPr="006E4623">
        <w:rPr>
          <w:color w:val="000000" w:themeColor="text1"/>
          <w:lang w:val="en-US"/>
        </w:rPr>
        <w:t xml:space="preserve"> А.А., </w:t>
      </w:r>
      <w:proofErr w:type="spellStart"/>
      <w:r w:rsidRPr="006E4623">
        <w:rPr>
          <w:color w:val="000000" w:themeColor="text1"/>
          <w:lang w:val="en-US"/>
        </w:rPr>
        <w:t>Трухманов</w:t>
      </w:r>
      <w:proofErr w:type="spellEnd"/>
      <w:r w:rsidRPr="006E4623">
        <w:rPr>
          <w:color w:val="000000" w:themeColor="text1"/>
          <w:lang w:val="en-US"/>
        </w:rPr>
        <w:t xml:space="preserve"> А.С., </w:t>
      </w:r>
      <w:proofErr w:type="spellStart"/>
      <w:r w:rsidRPr="006E4623">
        <w:rPr>
          <w:color w:val="000000" w:themeColor="text1"/>
          <w:lang w:val="en-US"/>
        </w:rPr>
        <w:t>Баранская</w:t>
      </w:r>
      <w:proofErr w:type="spellEnd"/>
      <w:r w:rsidRPr="006E4623">
        <w:rPr>
          <w:color w:val="000000" w:themeColor="text1"/>
          <w:lang w:val="en-US"/>
        </w:rPr>
        <w:t xml:space="preserve"> Е.К., </w:t>
      </w:r>
      <w:proofErr w:type="spellStart"/>
      <w:r w:rsidRPr="006E4623">
        <w:rPr>
          <w:color w:val="000000" w:themeColor="text1"/>
          <w:lang w:val="en-US"/>
        </w:rPr>
        <w:t>Абдулхаков</w:t>
      </w:r>
      <w:proofErr w:type="spellEnd"/>
      <w:r w:rsidRPr="006E4623">
        <w:rPr>
          <w:color w:val="000000" w:themeColor="text1"/>
          <w:lang w:val="en-US"/>
        </w:rPr>
        <w:t xml:space="preserve"> Р.А., </w:t>
      </w:r>
      <w:proofErr w:type="spellStart"/>
      <w:r w:rsidRPr="006E4623">
        <w:rPr>
          <w:color w:val="000000" w:themeColor="text1"/>
          <w:lang w:val="en-US"/>
        </w:rPr>
        <w:t>Алексеева</w:t>
      </w:r>
      <w:proofErr w:type="spellEnd"/>
      <w:r w:rsidRPr="006E4623">
        <w:rPr>
          <w:color w:val="000000" w:themeColor="text1"/>
          <w:lang w:val="en-US"/>
        </w:rPr>
        <w:t xml:space="preserve"> О.П., </w:t>
      </w:r>
      <w:proofErr w:type="spellStart"/>
      <w:r w:rsidRPr="006E4623">
        <w:rPr>
          <w:color w:val="000000" w:themeColor="text1"/>
          <w:lang w:val="en-US"/>
        </w:rPr>
        <w:t>Алексеенко</w:t>
      </w:r>
      <w:proofErr w:type="spellEnd"/>
      <w:r w:rsidRPr="006E4623">
        <w:rPr>
          <w:color w:val="000000" w:themeColor="text1"/>
          <w:lang w:val="en-US"/>
        </w:rPr>
        <w:t xml:space="preserve"> С.А., </w:t>
      </w:r>
      <w:proofErr w:type="spellStart"/>
      <w:r w:rsidRPr="006E4623">
        <w:rPr>
          <w:color w:val="000000" w:themeColor="text1"/>
          <w:lang w:val="en-US"/>
        </w:rPr>
        <w:t>Дехнич</w:t>
      </w:r>
      <w:proofErr w:type="spellEnd"/>
      <w:r w:rsidRPr="006E4623">
        <w:rPr>
          <w:color w:val="000000" w:themeColor="text1"/>
          <w:lang w:val="en-US"/>
        </w:rPr>
        <w:t xml:space="preserve"> Н.Н., Козлов Р.С., </w:t>
      </w:r>
      <w:proofErr w:type="spellStart"/>
      <w:r w:rsidRPr="006E4623">
        <w:rPr>
          <w:color w:val="000000" w:themeColor="text1"/>
          <w:lang w:val="en-US"/>
        </w:rPr>
        <w:t>Кляритская</w:t>
      </w:r>
      <w:proofErr w:type="spellEnd"/>
      <w:r w:rsidRPr="006E4623">
        <w:rPr>
          <w:color w:val="000000" w:themeColor="text1"/>
          <w:lang w:val="en-US"/>
        </w:rPr>
        <w:t xml:space="preserve"> И.Л., </w:t>
      </w:r>
      <w:proofErr w:type="spellStart"/>
      <w:r w:rsidRPr="006E4623">
        <w:rPr>
          <w:color w:val="000000" w:themeColor="text1"/>
          <w:lang w:val="en-US"/>
        </w:rPr>
        <w:t>Корочанская</w:t>
      </w:r>
      <w:proofErr w:type="spellEnd"/>
      <w:r w:rsidRPr="006E4623">
        <w:rPr>
          <w:color w:val="000000" w:themeColor="text1"/>
          <w:lang w:val="en-US"/>
        </w:rPr>
        <w:t xml:space="preserve"> Н.В., </w:t>
      </w:r>
      <w:proofErr w:type="spellStart"/>
      <w:r w:rsidRPr="006E4623">
        <w:rPr>
          <w:color w:val="000000" w:themeColor="text1"/>
          <w:lang w:val="en-US"/>
        </w:rPr>
        <w:t>Курилович</w:t>
      </w:r>
      <w:proofErr w:type="spellEnd"/>
      <w:r w:rsidRPr="006E4623">
        <w:rPr>
          <w:color w:val="000000" w:themeColor="text1"/>
          <w:lang w:val="en-US"/>
        </w:rPr>
        <w:t xml:space="preserve"> С.А., </w:t>
      </w:r>
      <w:proofErr w:type="spellStart"/>
      <w:r w:rsidRPr="006E4623">
        <w:rPr>
          <w:color w:val="000000" w:themeColor="text1"/>
          <w:lang w:val="en-US"/>
        </w:rPr>
        <w:t>Осипенко</w:t>
      </w:r>
      <w:proofErr w:type="spellEnd"/>
      <w:r w:rsidRPr="006E4623">
        <w:rPr>
          <w:color w:val="000000" w:themeColor="text1"/>
          <w:lang w:val="en-US"/>
        </w:rPr>
        <w:t xml:space="preserve"> М.Ф., </w:t>
      </w:r>
      <w:proofErr w:type="spellStart"/>
      <w:r w:rsidRPr="006E4623">
        <w:rPr>
          <w:color w:val="000000" w:themeColor="text1"/>
          <w:lang w:val="en-US"/>
        </w:rPr>
        <w:t>Симаненков</w:t>
      </w:r>
      <w:proofErr w:type="spellEnd"/>
      <w:r w:rsidRPr="006E4623">
        <w:rPr>
          <w:color w:val="000000" w:themeColor="text1"/>
          <w:lang w:val="en-US"/>
        </w:rPr>
        <w:t xml:space="preserve"> В.И., </w:t>
      </w:r>
      <w:proofErr w:type="spellStart"/>
      <w:r w:rsidRPr="006E4623">
        <w:rPr>
          <w:color w:val="000000" w:themeColor="text1"/>
          <w:lang w:val="en-US"/>
        </w:rPr>
        <w:t>Ткачев</w:t>
      </w:r>
      <w:proofErr w:type="spellEnd"/>
      <w:r w:rsidRPr="006E4623">
        <w:rPr>
          <w:color w:val="000000" w:themeColor="text1"/>
          <w:lang w:val="en-US"/>
        </w:rPr>
        <w:t xml:space="preserve"> А.В., </w:t>
      </w:r>
      <w:proofErr w:type="spellStart"/>
      <w:r w:rsidRPr="006E4623">
        <w:rPr>
          <w:color w:val="000000" w:themeColor="text1"/>
          <w:lang w:val="en-US"/>
        </w:rPr>
        <w:t>Хлынов</w:t>
      </w:r>
      <w:proofErr w:type="spellEnd"/>
      <w:r w:rsidRPr="006E4623">
        <w:rPr>
          <w:color w:val="000000" w:themeColor="text1"/>
          <w:lang w:val="en-US"/>
        </w:rPr>
        <w:t xml:space="preserve"> И.Б., </w:t>
      </w:r>
      <w:proofErr w:type="spellStart"/>
      <w:r w:rsidRPr="006E4623">
        <w:rPr>
          <w:color w:val="000000" w:themeColor="text1"/>
          <w:lang w:val="en-US"/>
        </w:rPr>
        <w:t>Цуканов</w:t>
      </w:r>
      <w:proofErr w:type="spellEnd"/>
      <w:r w:rsidRPr="006E4623">
        <w:rPr>
          <w:color w:val="000000" w:themeColor="text1"/>
          <w:lang w:val="en-US"/>
        </w:rPr>
        <w:t xml:space="preserve"> В.В. </w:t>
      </w:r>
      <w:proofErr w:type="spellStart"/>
      <w:r w:rsidRPr="006E4623">
        <w:rPr>
          <w:color w:val="000000" w:themeColor="text1"/>
          <w:lang w:val="en-US"/>
        </w:rPr>
        <w:t>Клинические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рекомендации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Российской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гастроэнтерологической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ассоциации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по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диагностике</w:t>
      </w:r>
      <w:proofErr w:type="spellEnd"/>
      <w:r w:rsidRPr="006E4623">
        <w:rPr>
          <w:color w:val="000000" w:themeColor="text1"/>
          <w:lang w:val="en-US"/>
        </w:rPr>
        <w:t xml:space="preserve"> и </w:t>
      </w:r>
      <w:proofErr w:type="spellStart"/>
      <w:r w:rsidRPr="006E4623">
        <w:rPr>
          <w:color w:val="000000" w:themeColor="text1"/>
          <w:lang w:val="en-US"/>
        </w:rPr>
        <w:t>лечению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инфекции</w:t>
      </w:r>
      <w:proofErr w:type="spellEnd"/>
      <w:r w:rsidRPr="006E4623">
        <w:rPr>
          <w:color w:val="000000" w:themeColor="text1"/>
          <w:lang w:val="en-US"/>
        </w:rPr>
        <w:t xml:space="preserve"> Helicobacter pylori у </w:t>
      </w:r>
      <w:proofErr w:type="spellStart"/>
      <w:r w:rsidRPr="006E4623">
        <w:rPr>
          <w:color w:val="000000" w:themeColor="text1"/>
          <w:lang w:val="en-US"/>
        </w:rPr>
        <w:t>взрослых</w:t>
      </w:r>
      <w:proofErr w:type="spellEnd"/>
      <w:r w:rsidRPr="006E4623">
        <w:rPr>
          <w:color w:val="000000" w:themeColor="text1"/>
          <w:lang w:val="en-US"/>
        </w:rPr>
        <w:t xml:space="preserve">. </w:t>
      </w:r>
      <w:proofErr w:type="spellStart"/>
      <w:r w:rsidRPr="006E4623">
        <w:rPr>
          <w:color w:val="000000" w:themeColor="text1"/>
          <w:lang w:val="en-US"/>
        </w:rPr>
        <w:t>Российский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журнал</w:t>
      </w:r>
      <w:proofErr w:type="spellEnd"/>
      <w:r w:rsidRPr="006E4623">
        <w:rPr>
          <w:color w:val="000000" w:themeColor="text1"/>
          <w:lang w:val="en-US"/>
        </w:rPr>
        <w:t xml:space="preserve"> </w:t>
      </w:r>
      <w:proofErr w:type="spellStart"/>
      <w:r w:rsidRPr="006E4623">
        <w:rPr>
          <w:color w:val="000000" w:themeColor="text1"/>
          <w:lang w:val="en-US"/>
        </w:rPr>
        <w:t>гастроэнтерологии</w:t>
      </w:r>
      <w:proofErr w:type="spellEnd"/>
      <w:r w:rsidRPr="006E4623">
        <w:rPr>
          <w:color w:val="000000" w:themeColor="text1"/>
          <w:lang w:val="en-US"/>
        </w:rPr>
        <w:t xml:space="preserve">, </w:t>
      </w:r>
      <w:proofErr w:type="spellStart"/>
      <w:r w:rsidRPr="006E4623">
        <w:rPr>
          <w:color w:val="000000" w:themeColor="text1"/>
          <w:lang w:val="en-US"/>
        </w:rPr>
        <w:t>гепатологии</w:t>
      </w:r>
      <w:proofErr w:type="spellEnd"/>
      <w:r w:rsidRPr="006E4623">
        <w:rPr>
          <w:color w:val="000000" w:themeColor="text1"/>
          <w:lang w:val="en-US"/>
        </w:rPr>
        <w:t xml:space="preserve">, </w:t>
      </w:r>
      <w:proofErr w:type="spellStart"/>
      <w:r w:rsidRPr="006E4623">
        <w:rPr>
          <w:color w:val="000000" w:themeColor="text1"/>
          <w:lang w:val="en-US"/>
        </w:rPr>
        <w:t>колопроктологии</w:t>
      </w:r>
      <w:proofErr w:type="spellEnd"/>
      <w:r w:rsidRPr="006E4623">
        <w:rPr>
          <w:color w:val="000000" w:themeColor="text1"/>
          <w:lang w:val="en-US"/>
        </w:rPr>
        <w:t>. 2018;28(1):55-70. https://doi.org/10.22416/1382-4376-2018-28-1-55-70.</w:t>
      </w:r>
      <w:r w:rsidR="003426D5" w:rsidRPr="008156B7">
        <w:rPr>
          <w:color w:val="000000" w:themeColor="text1"/>
          <w:lang w:val="en-US"/>
        </w:rPr>
        <w:tab/>
        <w:t xml:space="preserve">    </w:t>
      </w:r>
      <w:r w:rsidR="003426D5" w:rsidRPr="008156B7">
        <w:rPr>
          <w:color w:val="000000" w:themeColor="text1"/>
          <w:lang w:val="en-US"/>
        </w:rPr>
        <w:tab/>
      </w:r>
    </w:p>
    <w:p w14:paraId="0EE61E38" w14:textId="57D27B56" w:rsidR="003904E9" w:rsidRPr="003904E9" w:rsidRDefault="003904E9" w:rsidP="003904E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904E9">
        <w:rPr>
          <w:color w:val="000000" w:themeColor="text1"/>
          <w:lang w:val="en-US"/>
        </w:rPr>
        <w:t>Ko SW, Kim YJ, Chung WC, Lee SJ. Bismuth supplements as the first-line regimen for Helicobacter pylori eradication therapy: Systemic review and meta-analysis. Helicobacter. 2019;24(2</w:t>
      </w:r>
      <w:proofErr w:type="gramStart"/>
      <w:r w:rsidRPr="003904E9">
        <w:rPr>
          <w:color w:val="000000" w:themeColor="text1"/>
          <w:lang w:val="en-US"/>
        </w:rPr>
        <w:t>):e</w:t>
      </w:r>
      <w:proofErr w:type="gramEnd"/>
      <w:r w:rsidRPr="003904E9">
        <w:rPr>
          <w:color w:val="000000" w:themeColor="text1"/>
          <w:lang w:val="en-US"/>
        </w:rPr>
        <w:t>12565. doi:10.1111/hel.12565.</w:t>
      </w:r>
    </w:p>
    <w:p w14:paraId="2F906D02" w14:textId="4BAFD123" w:rsidR="003904E9" w:rsidRPr="003904E9" w:rsidRDefault="003904E9" w:rsidP="003904E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904E9">
        <w:rPr>
          <w:color w:val="000000" w:themeColor="text1"/>
          <w:lang w:val="en-US"/>
        </w:rPr>
        <w:t xml:space="preserve">McNicholl AG, Bordin DS, </w:t>
      </w:r>
      <w:proofErr w:type="spellStart"/>
      <w:r w:rsidRPr="003904E9">
        <w:rPr>
          <w:color w:val="000000" w:themeColor="text1"/>
          <w:lang w:val="en-US"/>
        </w:rPr>
        <w:t>Lucendo</w:t>
      </w:r>
      <w:proofErr w:type="spellEnd"/>
      <w:r w:rsidRPr="003904E9">
        <w:rPr>
          <w:color w:val="000000" w:themeColor="text1"/>
          <w:lang w:val="en-US"/>
        </w:rPr>
        <w:t xml:space="preserve"> A, et al. Combination of Bismuth and Standard Triple Therapy Eradicates Helicobacter </w:t>
      </w:r>
      <w:proofErr w:type="gramStart"/>
      <w:r w:rsidRPr="003904E9">
        <w:rPr>
          <w:color w:val="000000" w:themeColor="text1"/>
          <w:lang w:val="en-US"/>
        </w:rPr>
        <w:t>pylori</w:t>
      </w:r>
      <w:proofErr w:type="gramEnd"/>
      <w:r w:rsidRPr="003904E9">
        <w:rPr>
          <w:color w:val="000000" w:themeColor="text1"/>
          <w:lang w:val="en-US"/>
        </w:rPr>
        <w:t xml:space="preserve"> Infection in More than 90% of Patients. Clin Gastroenterol Hepatol. 2020;18(1):89-98. </w:t>
      </w:r>
      <w:proofErr w:type="gramStart"/>
      <w:r w:rsidRPr="003904E9">
        <w:rPr>
          <w:color w:val="000000" w:themeColor="text1"/>
          <w:lang w:val="en-US"/>
        </w:rPr>
        <w:t>doi:10.1016/j.cgh</w:t>
      </w:r>
      <w:proofErr w:type="gramEnd"/>
      <w:r w:rsidRPr="003904E9">
        <w:rPr>
          <w:color w:val="000000" w:themeColor="text1"/>
          <w:lang w:val="en-US"/>
        </w:rPr>
        <w:t>.2019.03.048.</w:t>
      </w:r>
    </w:p>
    <w:p w14:paraId="62AE6600" w14:textId="729FC2C4" w:rsidR="005C19ED" w:rsidRPr="003904E9" w:rsidRDefault="005C19ED" w:rsidP="003904E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904E9">
        <w:rPr>
          <w:color w:val="000000" w:themeColor="text1"/>
          <w:lang w:val="en-US"/>
        </w:rPr>
        <w:t xml:space="preserve"> </w:t>
      </w:r>
      <w:r w:rsidR="003904E9" w:rsidRPr="003904E9">
        <w:rPr>
          <w:color w:val="000000" w:themeColor="text1"/>
          <w:lang w:val="en-US"/>
        </w:rPr>
        <w:t>Nyssen OP, Bordin D, Tepes B, et al. European Registry on Helicobacter pylori management (Hp-</w:t>
      </w:r>
      <w:proofErr w:type="spellStart"/>
      <w:r w:rsidR="003904E9" w:rsidRPr="003904E9">
        <w:rPr>
          <w:color w:val="000000" w:themeColor="text1"/>
          <w:lang w:val="en-US"/>
        </w:rPr>
        <w:t>EuReg</w:t>
      </w:r>
      <w:proofErr w:type="spellEnd"/>
      <w:r w:rsidR="003904E9" w:rsidRPr="003904E9">
        <w:rPr>
          <w:color w:val="000000" w:themeColor="text1"/>
          <w:lang w:val="en-US"/>
        </w:rPr>
        <w:t>): patterns and trends in first-line empirical eradication prescription and outcomes of 5 years and 21 533 patients. Gut. 2021;70(1):40-54. doi:10.1136/gutjnl-2020-321372.</w:t>
      </w:r>
    </w:p>
    <w:p w14:paraId="30957710" w14:textId="77777777" w:rsidR="00F02330" w:rsidRPr="00F02330" w:rsidRDefault="003904E9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904E9">
        <w:rPr>
          <w:color w:val="000000" w:themeColor="text1"/>
          <w:lang w:val="en-US"/>
        </w:rPr>
        <w:lastRenderedPageBreak/>
        <w:t>Yang X, Wang JX, Han SX, Gao CP. High dose dual therapy versus bismuth quadruple therapy for Helicobacter pylori eradication treatment: A systematic review and meta-analysis. Medicine (Baltimore). 2019;98(7</w:t>
      </w:r>
      <w:proofErr w:type="gramStart"/>
      <w:r w:rsidRPr="003904E9">
        <w:rPr>
          <w:color w:val="000000" w:themeColor="text1"/>
          <w:lang w:val="en-US"/>
        </w:rPr>
        <w:t>):e</w:t>
      </w:r>
      <w:proofErr w:type="gramEnd"/>
      <w:r w:rsidRPr="003904E9">
        <w:rPr>
          <w:color w:val="000000" w:themeColor="text1"/>
          <w:lang w:val="en-US"/>
        </w:rPr>
        <w:t>14396. doi:10.1097/MD.0000000000014396.</w:t>
      </w:r>
    </w:p>
    <w:p w14:paraId="3AD2A78B" w14:textId="77777777" w:rsidR="00F02330" w:rsidRPr="00F02330" w:rsidRDefault="00F02330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F02330">
        <w:rPr>
          <w:color w:val="000000" w:themeColor="text1"/>
          <w:shd w:val="clear" w:color="auto" w:fill="FFFFFF"/>
          <w:lang w:val="en-US"/>
        </w:rPr>
        <w:t xml:space="preserve">Guo B, Cao NW, Zhou HY, Chu XJ, Li BZ. Efficacy and safety of bismuth-containing quadruple treatment and concomitant treatment for first-line Helicobacter pylori eradication: A systematic review and meta-analysis. </w:t>
      </w:r>
      <w:proofErr w:type="spellStart"/>
      <w:r w:rsidRPr="00F02330">
        <w:rPr>
          <w:color w:val="000000" w:themeColor="text1"/>
          <w:shd w:val="clear" w:color="auto" w:fill="FFFFFF"/>
          <w:lang w:val="en-US"/>
        </w:rPr>
        <w:t>Microb</w:t>
      </w:r>
      <w:proofErr w:type="spellEnd"/>
      <w:r w:rsidRPr="00F02330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F02330">
        <w:rPr>
          <w:color w:val="000000" w:themeColor="text1"/>
          <w:shd w:val="clear" w:color="auto" w:fill="FFFFFF"/>
          <w:lang w:val="en-US"/>
        </w:rPr>
        <w:t>Pathog</w:t>
      </w:r>
      <w:proofErr w:type="spellEnd"/>
      <w:r w:rsidRPr="00F02330">
        <w:rPr>
          <w:color w:val="000000" w:themeColor="text1"/>
          <w:shd w:val="clear" w:color="auto" w:fill="FFFFFF"/>
          <w:lang w:val="en-US"/>
        </w:rPr>
        <w:t xml:space="preserve">. </w:t>
      </w:r>
      <w:proofErr w:type="gramStart"/>
      <w:r w:rsidRPr="00F02330">
        <w:rPr>
          <w:color w:val="000000" w:themeColor="text1"/>
          <w:shd w:val="clear" w:color="auto" w:fill="FFFFFF"/>
          <w:lang w:val="en-US"/>
        </w:rPr>
        <w:t>2021;152:104661</w:t>
      </w:r>
      <w:proofErr w:type="gramEnd"/>
      <w:r w:rsidRPr="00F02330">
        <w:rPr>
          <w:color w:val="000000" w:themeColor="text1"/>
          <w:shd w:val="clear" w:color="auto" w:fill="FFFFFF"/>
          <w:lang w:val="en-US"/>
        </w:rPr>
        <w:t xml:space="preserve">. </w:t>
      </w:r>
      <w:proofErr w:type="gramStart"/>
      <w:r w:rsidRPr="00F02330">
        <w:rPr>
          <w:color w:val="000000" w:themeColor="text1"/>
          <w:shd w:val="clear" w:color="auto" w:fill="FFFFFF"/>
          <w:lang w:val="en-US"/>
        </w:rPr>
        <w:t>doi:10.1016/j.micpath</w:t>
      </w:r>
      <w:proofErr w:type="gramEnd"/>
      <w:r w:rsidRPr="00F02330">
        <w:rPr>
          <w:color w:val="000000" w:themeColor="text1"/>
          <w:shd w:val="clear" w:color="auto" w:fill="FFFFFF"/>
          <w:lang w:val="en-US"/>
        </w:rPr>
        <w:t>.2020.104661</w:t>
      </w:r>
      <w:r w:rsidRPr="00F02330">
        <w:rPr>
          <w:color w:val="000000" w:themeColor="text1"/>
          <w:shd w:val="clear" w:color="auto" w:fill="FFFFFF"/>
        </w:rPr>
        <w:t>.</w:t>
      </w:r>
    </w:p>
    <w:p w14:paraId="1C89FDDF" w14:textId="77777777" w:rsidR="00F02330" w:rsidRPr="00F02330" w:rsidRDefault="00F02330" w:rsidP="00F0233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F02330">
        <w:rPr>
          <w:color w:val="000000" w:themeColor="text1"/>
          <w:shd w:val="clear" w:color="auto" w:fill="FFFFFF"/>
          <w:lang w:val="en-US"/>
        </w:rPr>
        <w:t xml:space="preserve">Zagari RM, </w:t>
      </w:r>
      <w:proofErr w:type="spellStart"/>
      <w:r w:rsidRPr="00F02330">
        <w:rPr>
          <w:color w:val="000000" w:themeColor="text1"/>
          <w:shd w:val="clear" w:color="auto" w:fill="FFFFFF"/>
          <w:lang w:val="en-US"/>
        </w:rPr>
        <w:t>Dajti</w:t>
      </w:r>
      <w:proofErr w:type="spellEnd"/>
      <w:r w:rsidRPr="00F02330">
        <w:rPr>
          <w:color w:val="000000" w:themeColor="text1"/>
          <w:shd w:val="clear" w:color="auto" w:fill="FFFFFF"/>
          <w:lang w:val="en-US"/>
        </w:rPr>
        <w:t xml:space="preserve"> E, </w:t>
      </w:r>
      <w:proofErr w:type="spellStart"/>
      <w:r w:rsidRPr="00F02330">
        <w:rPr>
          <w:color w:val="000000" w:themeColor="text1"/>
          <w:shd w:val="clear" w:color="auto" w:fill="FFFFFF"/>
          <w:lang w:val="en-US"/>
        </w:rPr>
        <w:t>Cominardi</w:t>
      </w:r>
      <w:proofErr w:type="spellEnd"/>
      <w:r w:rsidRPr="00F02330">
        <w:rPr>
          <w:color w:val="000000" w:themeColor="text1"/>
          <w:shd w:val="clear" w:color="auto" w:fill="FFFFFF"/>
          <w:lang w:val="en-US"/>
        </w:rPr>
        <w:t xml:space="preserve"> A, et al. Standard Bismuth Quadruple Therapy versus Concomitant Therapy for the First-Line Treatment of Helicobacter pylori Infection: A Systematic Review and Meta-Analysis of Randomized Controlled Trials. J Clin Med. 2023;12(9):3258. Published 2023 May 3. doi:10.3390/jcm12093258</w:t>
      </w:r>
      <w:r w:rsidRPr="009352B1">
        <w:rPr>
          <w:color w:val="000000" w:themeColor="text1"/>
          <w:shd w:val="clear" w:color="auto" w:fill="FFFFFF"/>
          <w:lang w:val="en-US"/>
        </w:rPr>
        <w:t>.</w:t>
      </w:r>
    </w:p>
    <w:p w14:paraId="1799CEF8" w14:textId="5B6DC0CA" w:rsidR="00F02330" w:rsidRPr="00F02330" w:rsidRDefault="00F02330" w:rsidP="00F0233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F02330">
        <w:rPr>
          <w:color w:val="000000" w:themeColor="text1"/>
          <w:lang w:val="en-US"/>
        </w:rPr>
        <w:t xml:space="preserve">Yuan Y., Ford A.C., Khan K.J., Gisbert J.P., Forman D., </w:t>
      </w:r>
      <w:proofErr w:type="spellStart"/>
      <w:r w:rsidRPr="00F02330">
        <w:rPr>
          <w:color w:val="000000" w:themeColor="text1"/>
          <w:lang w:val="en-US"/>
        </w:rPr>
        <w:t>Leontiadis</w:t>
      </w:r>
      <w:proofErr w:type="spellEnd"/>
      <w:r w:rsidRPr="00F02330">
        <w:rPr>
          <w:color w:val="000000" w:themeColor="text1"/>
          <w:lang w:val="en-US"/>
        </w:rPr>
        <w:t xml:space="preserve"> G.I., et al.</w:t>
      </w:r>
    </w:p>
    <w:p w14:paraId="771EE8E4" w14:textId="77777777" w:rsidR="006B4F78" w:rsidRPr="00B554D1" w:rsidRDefault="00F02330" w:rsidP="008156B7">
      <w:pPr>
        <w:pStyle w:val="af6"/>
        <w:spacing w:line="360" w:lineRule="auto"/>
        <w:ind w:left="0" w:right="284"/>
        <w:rPr>
          <w:color w:val="000000" w:themeColor="text1"/>
          <w:shd w:val="clear" w:color="auto" w:fill="FFFFFF"/>
          <w:lang w:val="en-US"/>
        </w:rPr>
      </w:pPr>
      <w:r w:rsidRPr="00F02330">
        <w:rPr>
          <w:color w:val="000000" w:themeColor="text1"/>
          <w:szCs w:val="22"/>
          <w:lang w:val="en-US" w:eastAsia="en-US"/>
        </w:rPr>
        <w:t xml:space="preserve"> Optimum duration of regimens for Helicobacter pylori eradication. Cochrane </w:t>
      </w:r>
      <w:proofErr w:type="gramStart"/>
      <w:r w:rsidRPr="00F02330">
        <w:rPr>
          <w:color w:val="000000" w:themeColor="text1"/>
          <w:szCs w:val="22"/>
          <w:lang w:val="en-US" w:eastAsia="en-US"/>
        </w:rPr>
        <w:t>Database  Syst</w:t>
      </w:r>
      <w:proofErr w:type="gramEnd"/>
      <w:r w:rsidRPr="00F02330">
        <w:rPr>
          <w:color w:val="000000" w:themeColor="text1"/>
          <w:szCs w:val="22"/>
          <w:lang w:val="en-US" w:eastAsia="en-US"/>
        </w:rPr>
        <w:t xml:space="preserve"> Rev. </w:t>
      </w:r>
      <w:r w:rsidRPr="00B554D1">
        <w:rPr>
          <w:color w:val="000000" w:themeColor="text1"/>
          <w:szCs w:val="22"/>
          <w:lang w:val="en-US" w:eastAsia="en-US"/>
        </w:rPr>
        <w:t xml:space="preserve">2013;(12):CD008337. Published 2013 Dec 11. </w:t>
      </w:r>
      <w:proofErr w:type="gramStart"/>
      <w:r w:rsidRPr="00B554D1">
        <w:rPr>
          <w:color w:val="000000" w:themeColor="text1"/>
          <w:szCs w:val="22"/>
          <w:lang w:val="en-US" w:eastAsia="en-US"/>
        </w:rPr>
        <w:t>doi:10.1002/14651858.CD008337.pub2</w:t>
      </w:r>
      <w:proofErr w:type="gramEnd"/>
      <w:r w:rsidRPr="00B554D1">
        <w:rPr>
          <w:color w:val="000000" w:themeColor="text1"/>
          <w:szCs w:val="22"/>
          <w:lang w:val="en-US" w:eastAsia="en-US"/>
        </w:rPr>
        <w:t>.</w:t>
      </w:r>
    </w:p>
    <w:p w14:paraId="10B602C0" w14:textId="77777777" w:rsidR="005C61A4" w:rsidRPr="005C61A4" w:rsidRDefault="006B4F78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6B4F78">
        <w:rPr>
          <w:color w:val="000000" w:themeColor="text1"/>
          <w:shd w:val="clear" w:color="auto" w:fill="FFFFFF"/>
          <w:lang w:val="en-US"/>
        </w:rPr>
        <w:t xml:space="preserve">Villoria A, Garcia P, Calvet X, Gisbert JP, Vergara M. Meta-analysis: high-dose proton pump inhibitors vs. standard dose in triple therapy for Helicobacter pylori eradication. Aliment </w:t>
      </w:r>
      <w:proofErr w:type="spellStart"/>
      <w:r w:rsidRPr="006B4F78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6B4F78">
        <w:rPr>
          <w:color w:val="000000" w:themeColor="text1"/>
          <w:shd w:val="clear" w:color="auto" w:fill="FFFFFF"/>
          <w:lang w:val="en-US"/>
        </w:rPr>
        <w:t xml:space="preserve"> Ther. 2008;28(7):868-877. doi:10.1111/j.1365-2036.2008.</w:t>
      </w:r>
      <w:proofErr w:type="gramStart"/>
      <w:r w:rsidRPr="006B4F78">
        <w:rPr>
          <w:color w:val="000000" w:themeColor="text1"/>
          <w:shd w:val="clear" w:color="auto" w:fill="FFFFFF"/>
          <w:lang w:val="en-US"/>
        </w:rPr>
        <w:t>03807.x.</w:t>
      </w:r>
      <w:proofErr w:type="gramEnd"/>
    </w:p>
    <w:p w14:paraId="52A232BC" w14:textId="77777777" w:rsidR="002D51C4" w:rsidRPr="002D51C4" w:rsidRDefault="005C61A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5C61A4">
        <w:rPr>
          <w:color w:val="000000" w:themeColor="text1"/>
          <w:shd w:val="clear" w:color="auto" w:fill="FFFFFF"/>
          <w:lang w:val="en-US"/>
        </w:rPr>
        <w:t xml:space="preserve">Gao W, Zhang X, Yin Y, Yu S, Wang L. Different dose of new generation proton pump inhibitors for the treatment of Helicobacter pylori infection: A meta-analysis. Int J </w:t>
      </w:r>
      <w:proofErr w:type="spellStart"/>
      <w:r w:rsidRPr="005C61A4">
        <w:rPr>
          <w:color w:val="000000" w:themeColor="text1"/>
          <w:shd w:val="clear" w:color="auto" w:fill="FFFFFF"/>
          <w:lang w:val="en-US"/>
        </w:rPr>
        <w:t>Immunopathol</w:t>
      </w:r>
      <w:proofErr w:type="spellEnd"/>
      <w:r w:rsidRPr="005C61A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5C61A4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5C61A4">
        <w:rPr>
          <w:color w:val="000000" w:themeColor="text1"/>
          <w:shd w:val="clear" w:color="auto" w:fill="FFFFFF"/>
          <w:lang w:val="en-US"/>
        </w:rPr>
        <w:t xml:space="preserve">. </w:t>
      </w:r>
      <w:proofErr w:type="gramStart"/>
      <w:r w:rsidRPr="005C61A4">
        <w:rPr>
          <w:color w:val="000000" w:themeColor="text1"/>
          <w:shd w:val="clear" w:color="auto" w:fill="FFFFFF"/>
          <w:lang w:val="en-US"/>
        </w:rPr>
        <w:t>2021;35:20587384211030397</w:t>
      </w:r>
      <w:proofErr w:type="gramEnd"/>
      <w:r w:rsidRPr="005C61A4">
        <w:rPr>
          <w:color w:val="000000" w:themeColor="text1"/>
          <w:shd w:val="clear" w:color="auto" w:fill="FFFFFF"/>
          <w:lang w:val="en-US"/>
        </w:rPr>
        <w:t>. doi:10.1177/20587384211030397</w:t>
      </w:r>
      <w:r w:rsidRPr="005C61A4">
        <w:rPr>
          <w:color w:val="000000" w:themeColor="text1"/>
          <w:shd w:val="clear" w:color="auto" w:fill="FFFFFF"/>
        </w:rPr>
        <w:t>.</w:t>
      </w:r>
      <w:r w:rsidR="00A750A0" w:rsidRPr="005C61A4">
        <w:rPr>
          <w:color w:val="000000" w:themeColor="text1"/>
          <w:shd w:val="clear" w:color="auto" w:fill="FFFFFF"/>
          <w:lang w:val="en-US"/>
        </w:rPr>
        <w:t xml:space="preserve">      </w:t>
      </w:r>
    </w:p>
    <w:p w14:paraId="6B2C39B2" w14:textId="77777777" w:rsidR="00230FA4" w:rsidRPr="00230FA4" w:rsidRDefault="002D51C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2D51C4">
        <w:rPr>
          <w:color w:val="000000" w:themeColor="text1"/>
          <w:shd w:val="clear" w:color="auto" w:fill="FFFFFF"/>
          <w:lang w:val="en-US"/>
        </w:rPr>
        <w:t xml:space="preserve">Tang HL, Li Y, Hu YF, Xie HG, Zhai SD. Effects of CYP2C19 loss-of-function variants on the eradication of H. pylori infection in patients treated with proton pump inhibitor-based triple therapy regimens: a meta-analysis of randomized clinical trials. </w:t>
      </w:r>
      <w:proofErr w:type="spellStart"/>
      <w:r w:rsidRPr="002D51C4">
        <w:rPr>
          <w:color w:val="000000" w:themeColor="text1"/>
          <w:shd w:val="clear" w:color="auto" w:fill="FFFFFF"/>
          <w:lang w:val="en-US"/>
        </w:rPr>
        <w:t>PLoS</w:t>
      </w:r>
      <w:proofErr w:type="spellEnd"/>
      <w:r w:rsidRPr="002D51C4">
        <w:rPr>
          <w:color w:val="000000" w:themeColor="text1"/>
          <w:shd w:val="clear" w:color="auto" w:fill="FFFFFF"/>
          <w:lang w:val="en-US"/>
        </w:rPr>
        <w:t xml:space="preserve"> One. 2013;8(4</w:t>
      </w:r>
      <w:proofErr w:type="gramStart"/>
      <w:r w:rsidRPr="002D51C4">
        <w:rPr>
          <w:color w:val="000000" w:themeColor="text1"/>
          <w:shd w:val="clear" w:color="auto" w:fill="FFFFFF"/>
          <w:lang w:val="en-US"/>
        </w:rPr>
        <w:t>):e</w:t>
      </w:r>
      <w:proofErr w:type="gramEnd"/>
      <w:r w:rsidRPr="002D51C4">
        <w:rPr>
          <w:color w:val="000000" w:themeColor="text1"/>
          <w:shd w:val="clear" w:color="auto" w:fill="FFFFFF"/>
          <w:lang w:val="en-US"/>
        </w:rPr>
        <w:t xml:space="preserve">62162. Published 2013 Apr 30. </w:t>
      </w:r>
      <w:proofErr w:type="gramStart"/>
      <w:r w:rsidRPr="002D51C4">
        <w:rPr>
          <w:color w:val="000000" w:themeColor="text1"/>
          <w:shd w:val="clear" w:color="auto" w:fill="FFFFFF"/>
          <w:lang w:val="en-US"/>
        </w:rPr>
        <w:t>doi:10.1371/journal.pone</w:t>
      </w:r>
      <w:proofErr w:type="gramEnd"/>
      <w:r w:rsidRPr="002D51C4">
        <w:rPr>
          <w:color w:val="000000" w:themeColor="text1"/>
          <w:shd w:val="clear" w:color="auto" w:fill="FFFFFF"/>
          <w:lang w:val="en-US"/>
        </w:rPr>
        <w:t>.0062162</w:t>
      </w:r>
      <w:r w:rsidRPr="00D92AE8">
        <w:rPr>
          <w:color w:val="000000" w:themeColor="text1"/>
          <w:shd w:val="clear" w:color="auto" w:fill="FFFFFF"/>
          <w:lang w:val="en-US"/>
        </w:rPr>
        <w:t>.</w:t>
      </w:r>
    </w:p>
    <w:p w14:paraId="67CEB512" w14:textId="77777777" w:rsidR="00230FA4" w:rsidRPr="00230FA4" w:rsidRDefault="00230FA4" w:rsidP="00230FA4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230FA4">
        <w:rPr>
          <w:color w:val="000000" w:themeColor="text1"/>
          <w:shd w:val="clear" w:color="auto" w:fill="FFFFFF"/>
          <w:lang w:val="en-US"/>
        </w:rPr>
        <w:t xml:space="preserve">Jung YS, Kim EH, Park CH. Systematic review with meta-analysis: the efficacy of </w:t>
      </w:r>
      <w:proofErr w:type="spellStart"/>
      <w:r w:rsidRPr="00230FA4">
        <w:rPr>
          <w:color w:val="000000" w:themeColor="text1"/>
          <w:shd w:val="clear" w:color="auto" w:fill="FFFFFF"/>
          <w:lang w:val="en-US"/>
        </w:rPr>
        <w:t>vonoprazan</w:t>
      </w:r>
      <w:proofErr w:type="spellEnd"/>
      <w:r w:rsidRPr="00230FA4">
        <w:rPr>
          <w:color w:val="000000" w:themeColor="text1"/>
          <w:shd w:val="clear" w:color="auto" w:fill="FFFFFF"/>
          <w:lang w:val="en-US"/>
        </w:rPr>
        <w:t xml:space="preserve">-based triple therapy on Helicobacter pylori eradication. Aliment </w:t>
      </w:r>
      <w:proofErr w:type="spellStart"/>
      <w:r w:rsidRPr="00230FA4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230FA4">
        <w:rPr>
          <w:color w:val="000000" w:themeColor="text1"/>
          <w:shd w:val="clear" w:color="auto" w:fill="FFFFFF"/>
          <w:lang w:val="en-US"/>
        </w:rPr>
        <w:t xml:space="preserve"> Ther. 2017;46(2):106-114. doi:10.1111/apt.14130</w:t>
      </w:r>
      <w:r w:rsidRPr="009352B1">
        <w:rPr>
          <w:color w:val="000000" w:themeColor="text1"/>
          <w:shd w:val="clear" w:color="auto" w:fill="FFFFFF"/>
          <w:lang w:val="en-US"/>
        </w:rPr>
        <w:t>.</w:t>
      </w:r>
    </w:p>
    <w:p w14:paraId="0E3DB69F" w14:textId="77777777" w:rsidR="00230FA4" w:rsidRPr="00230FA4" w:rsidRDefault="00230FA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230FA4">
        <w:rPr>
          <w:color w:val="000000" w:themeColor="text1"/>
          <w:shd w:val="clear" w:color="auto" w:fill="FFFFFF"/>
          <w:lang w:val="en-US"/>
        </w:rPr>
        <w:t xml:space="preserve">Shinozaki S, Kobayashi Y, Osawa H, et al. Effectiveness and Safety of </w:t>
      </w:r>
      <w:proofErr w:type="spellStart"/>
      <w:r w:rsidRPr="00230FA4">
        <w:rPr>
          <w:color w:val="000000" w:themeColor="text1"/>
          <w:shd w:val="clear" w:color="auto" w:fill="FFFFFF"/>
          <w:lang w:val="en-US"/>
        </w:rPr>
        <w:t>Vonoprazan</w:t>
      </w:r>
      <w:proofErr w:type="spellEnd"/>
      <w:r w:rsidRPr="00230FA4">
        <w:rPr>
          <w:color w:val="000000" w:themeColor="text1"/>
          <w:shd w:val="clear" w:color="auto" w:fill="FFFFFF"/>
          <w:lang w:val="en-US"/>
        </w:rPr>
        <w:t xml:space="preserve"> versus Proton Pump Inhibitors for Second-Line Helicobacter pylori Eradication Therapy: Systematic Review and Meta-Analysis. Digestion. 2021;102(3):319-325. doi:10.1159/000504939.</w:t>
      </w:r>
      <w:r w:rsidR="00146EC7" w:rsidRPr="00230FA4">
        <w:rPr>
          <w:color w:val="000000" w:themeColor="text1"/>
          <w:shd w:val="clear" w:color="auto" w:fill="FFFFFF"/>
          <w:lang w:val="en-US"/>
        </w:rPr>
        <w:t xml:space="preserve"> </w:t>
      </w:r>
    </w:p>
    <w:p w14:paraId="5EFE8F93" w14:textId="77777777" w:rsidR="004E4307" w:rsidRPr="004E4307" w:rsidRDefault="00230FA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230FA4">
        <w:rPr>
          <w:color w:val="000000" w:themeColor="text1"/>
          <w:shd w:val="clear" w:color="auto" w:fill="FFFFFF"/>
          <w:lang w:val="en-US"/>
        </w:rPr>
        <w:t>Chang YL, Tung YC, Tu YK, et al. Efficacy of second-line regimens for Helicobacter pylori eradication treatment: a systemic review and network meta-analysis. BMJ Open Gastroenterol. 2020;7(1</w:t>
      </w:r>
      <w:proofErr w:type="gramStart"/>
      <w:r w:rsidRPr="00230FA4">
        <w:rPr>
          <w:color w:val="000000" w:themeColor="text1"/>
          <w:shd w:val="clear" w:color="auto" w:fill="FFFFFF"/>
          <w:lang w:val="en-US"/>
        </w:rPr>
        <w:t>):e</w:t>
      </w:r>
      <w:proofErr w:type="gramEnd"/>
      <w:r w:rsidRPr="00230FA4">
        <w:rPr>
          <w:color w:val="000000" w:themeColor="text1"/>
          <w:shd w:val="clear" w:color="auto" w:fill="FFFFFF"/>
          <w:lang w:val="en-US"/>
        </w:rPr>
        <w:t>000472. doi:10.1136/bmjgast-2020-000472</w:t>
      </w:r>
      <w:r w:rsidRPr="00D92AE8">
        <w:rPr>
          <w:color w:val="000000" w:themeColor="text1"/>
          <w:shd w:val="clear" w:color="auto" w:fill="FFFFFF"/>
          <w:lang w:val="en-US"/>
        </w:rPr>
        <w:t>.</w:t>
      </w:r>
    </w:p>
    <w:p w14:paraId="6D0EE2DA" w14:textId="77777777" w:rsidR="00115428" w:rsidRPr="00115428" w:rsidRDefault="004E4307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4E4307">
        <w:rPr>
          <w:color w:val="000000" w:themeColor="text1"/>
          <w:shd w:val="clear" w:color="auto" w:fill="FFFFFF"/>
          <w:lang w:val="en-US"/>
        </w:rPr>
        <w:lastRenderedPageBreak/>
        <w:t>Han Z, Li Y, Kong Q, et al. Efficacy of bismuth for antibiotic-resistant Helicobacter pylori strains eradication: A systematic review and meta-analysis. Helicobacter. 2022;27(6</w:t>
      </w:r>
      <w:proofErr w:type="gramStart"/>
      <w:r w:rsidRPr="004E4307">
        <w:rPr>
          <w:color w:val="000000" w:themeColor="text1"/>
          <w:shd w:val="clear" w:color="auto" w:fill="FFFFFF"/>
          <w:lang w:val="en-US"/>
        </w:rPr>
        <w:t>):e</w:t>
      </w:r>
      <w:proofErr w:type="gramEnd"/>
      <w:r w:rsidRPr="004E4307">
        <w:rPr>
          <w:color w:val="000000" w:themeColor="text1"/>
          <w:shd w:val="clear" w:color="auto" w:fill="FFFFFF"/>
          <w:lang w:val="en-US"/>
        </w:rPr>
        <w:t>12930. doi:10.1111/hel.12930</w:t>
      </w:r>
      <w:r w:rsidRPr="00D92AE8">
        <w:rPr>
          <w:color w:val="000000" w:themeColor="text1"/>
          <w:shd w:val="clear" w:color="auto" w:fill="FFFFFF"/>
          <w:lang w:val="en-US"/>
        </w:rPr>
        <w:t>.</w:t>
      </w:r>
    </w:p>
    <w:p w14:paraId="12D7E80E" w14:textId="77777777" w:rsidR="00483725" w:rsidRPr="00483725" w:rsidRDefault="00115428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115428">
        <w:rPr>
          <w:color w:val="000000" w:themeColor="text1"/>
          <w:shd w:val="clear" w:color="auto" w:fill="FFFFFF"/>
          <w:lang w:val="en-US"/>
        </w:rPr>
        <w:t>Yeo YH, Hsu CC, Lee CC, et al. Systematic review and network meta-analysis: Comparative effectiveness of therapies for second-line Helicobacter pylori eradication. J Gastroenterol Hepatol. 2019;34(1):59-67. doi:10.1111/jgh.14462</w:t>
      </w:r>
      <w:r w:rsidRPr="009352B1">
        <w:rPr>
          <w:color w:val="000000" w:themeColor="text1"/>
          <w:shd w:val="clear" w:color="auto" w:fill="FFFFFF"/>
          <w:lang w:val="en-US"/>
        </w:rPr>
        <w:t>.</w:t>
      </w:r>
    </w:p>
    <w:p w14:paraId="6D59ECA9" w14:textId="77777777" w:rsidR="00BC1D77" w:rsidRPr="00BC1D77" w:rsidRDefault="00483725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483725">
        <w:rPr>
          <w:color w:val="000000" w:themeColor="text1"/>
          <w:shd w:val="clear" w:color="auto" w:fill="FFFFFF"/>
          <w:lang w:val="en-US"/>
        </w:rPr>
        <w:t>Mori H, Suzuki H. Update on quinolone-containing rescue therapies for Helicobacter pylori infection. World J Gastroenterol. 2020;26(15):1733-1744. doi:10.3748/</w:t>
      </w:r>
      <w:proofErr w:type="gramStart"/>
      <w:r w:rsidRPr="00483725">
        <w:rPr>
          <w:color w:val="000000" w:themeColor="text1"/>
          <w:shd w:val="clear" w:color="auto" w:fill="FFFFFF"/>
          <w:lang w:val="en-US"/>
        </w:rPr>
        <w:t>wjg.v26.i</w:t>
      </w:r>
      <w:proofErr w:type="gramEnd"/>
      <w:r w:rsidRPr="00483725">
        <w:rPr>
          <w:color w:val="000000" w:themeColor="text1"/>
          <w:shd w:val="clear" w:color="auto" w:fill="FFFFFF"/>
          <w:lang w:val="en-US"/>
        </w:rPr>
        <w:t>15.1733</w:t>
      </w:r>
      <w:r w:rsidRPr="00483725">
        <w:rPr>
          <w:color w:val="000000" w:themeColor="text1"/>
          <w:shd w:val="clear" w:color="auto" w:fill="FFFFFF"/>
        </w:rPr>
        <w:t>.</w:t>
      </w:r>
    </w:p>
    <w:p w14:paraId="54AFBA58" w14:textId="77777777" w:rsidR="0027129C" w:rsidRPr="0027129C" w:rsidRDefault="00BC1D77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rStyle w:val="apple-converted-space"/>
          <w:color w:val="000000" w:themeColor="text1"/>
          <w:shd w:val="clear" w:color="auto" w:fill="FFFFFF"/>
          <w:lang w:val="en-US"/>
        </w:rPr>
      </w:pPr>
      <w:r w:rsidRPr="00BC1D77">
        <w:rPr>
          <w:color w:val="000000" w:themeColor="text1"/>
          <w:shd w:val="clear" w:color="auto" w:fill="FFFFFF"/>
          <w:lang w:val="en-US"/>
        </w:rPr>
        <w:t>Di Caro S, Fini L, Daoud Y, et al. Levofloxacin/amoxicillin-based schemes vs quadruple therapy for Helicobacter pylori eradication in second-line. World J Gastroenterol. 2012;18(40):5669-5678. doi:10.3748/</w:t>
      </w:r>
      <w:proofErr w:type="gramStart"/>
      <w:r w:rsidRPr="00BC1D77">
        <w:rPr>
          <w:color w:val="000000" w:themeColor="text1"/>
          <w:shd w:val="clear" w:color="auto" w:fill="FFFFFF"/>
          <w:lang w:val="en-US"/>
        </w:rPr>
        <w:t>wjg.v18.i</w:t>
      </w:r>
      <w:proofErr w:type="gramEnd"/>
      <w:r w:rsidRPr="00BC1D77">
        <w:rPr>
          <w:color w:val="000000" w:themeColor="text1"/>
          <w:shd w:val="clear" w:color="auto" w:fill="FFFFFF"/>
          <w:lang w:val="en-US"/>
        </w:rPr>
        <w:t>40.5669</w:t>
      </w:r>
      <w:r w:rsidRPr="00D92AE8">
        <w:rPr>
          <w:color w:val="000000" w:themeColor="text1"/>
          <w:shd w:val="clear" w:color="auto" w:fill="FFFFFF"/>
          <w:lang w:val="en-US"/>
        </w:rPr>
        <w:t>.</w:t>
      </w:r>
      <w:r w:rsidR="00FC11C1" w:rsidRPr="00BC1D77">
        <w:rPr>
          <w:rStyle w:val="apple-converted-space"/>
          <w:color w:val="000000" w:themeColor="text1"/>
          <w:shd w:val="clear" w:color="auto" w:fill="FFFFFF"/>
          <w:lang w:val="en-US"/>
        </w:rPr>
        <w:tab/>
        <w:t xml:space="preserve">  </w:t>
      </w:r>
    </w:p>
    <w:p w14:paraId="43FE91C1" w14:textId="77777777" w:rsidR="00B87CEC" w:rsidRPr="00B87CEC" w:rsidRDefault="0027129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27129C">
        <w:rPr>
          <w:color w:val="000000" w:themeColor="text1"/>
          <w:shd w:val="clear" w:color="auto" w:fill="FFFFFF"/>
          <w:lang w:val="en-US"/>
        </w:rPr>
        <w:t>Gisbert JP, Molina-Infante J, Marin AC, Vinagre G, Barrio J, McNicholl AG. Second-line rescue triple therapy with levofloxacin after failure of non-bismuth quadruple "sequential" or "concomitant" treatment to eradicate H. pylori infection. Scand J Gastroenterol. 2013;48(6):652-656. doi:10.3109/00365521.2013.786132</w:t>
      </w:r>
      <w:r w:rsidRPr="0027129C">
        <w:rPr>
          <w:color w:val="000000" w:themeColor="text1"/>
          <w:shd w:val="clear" w:color="auto" w:fill="FFFFFF"/>
        </w:rPr>
        <w:t>.</w:t>
      </w:r>
    </w:p>
    <w:p w14:paraId="058BA863" w14:textId="77777777" w:rsidR="00B87CEC" w:rsidRPr="00B87CEC" w:rsidRDefault="00B87CE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B87CEC">
        <w:rPr>
          <w:rFonts w:eastAsia="KudrashovC"/>
          <w:color w:val="000000" w:themeColor="text1"/>
          <w:lang w:val="en-US"/>
        </w:rPr>
        <w:t xml:space="preserve">Andreev DN, Maev IV, </w:t>
      </w:r>
      <w:proofErr w:type="spellStart"/>
      <w:r w:rsidRPr="00B87CEC">
        <w:rPr>
          <w:rFonts w:eastAsia="KudrashovC"/>
          <w:color w:val="000000" w:themeColor="text1"/>
          <w:lang w:val="en-US"/>
        </w:rPr>
        <w:t>Dicheva</w:t>
      </w:r>
      <w:proofErr w:type="spellEnd"/>
      <w:r w:rsidRPr="00B87CEC">
        <w:rPr>
          <w:rFonts w:eastAsia="KudrashovC"/>
          <w:color w:val="000000" w:themeColor="text1"/>
          <w:lang w:val="en-US"/>
        </w:rPr>
        <w:t xml:space="preserve"> DT. Efficiency of the Inclusion of </w:t>
      </w:r>
      <w:proofErr w:type="spellStart"/>
      <w:r w:rsidRPr="00B87CEC">
        <w:rPr>
          <w:rFonts w:eastAsia="KudrashovC"/>
          <w:color w:val="000000" w:themeColor="text1"/>
          <w:lang w:val="en-US"/>
        </w:rPr>
        <w:t>Rebamipide</w:t>
      </w:r>
      <w:proofErr w:type="spellEnd"/>
      <w:r w:rsidRPr="00B87CEC">
        <w:rPr>
          <w:rFonts w:eastAsia="KudrashovC"/>
          <w:color w:val="000000" w:themeColor="text1"/>
          <w:lang w:val="en-US"/>
        </w:rPr>
        <w:t xml:space="preserve"> in the Eradication Therapy for Helicobacter pylori Infection: Meta-Analysis of Randomized Controlled Studies. J Clin Med. 2019;8(9):1498. Published 2019 Sep 19. doi:10.3390/jcm8091498</w:t>
      </w:r>
      <w:r w:rsidRPr="008E5AA7">
        <w:rPr>
          <w:rFonts w:eastAsia="KudrashovC"/>
          <w:color w:val="000000" w:themeColor="text1"/>
          <w:lang w:val="en-US"/>
        </w:rPr>
        <w:t>.</w:t>
      </w:r>
    </w:p>
    <w:p w14:paraId="07876F46" w14:textId="77777777" w:rsidR="00B87CEC" w:rsidRPr="00B87CEC" w:rsidRDefault="00B87CE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B87CEC">
        <w:rPr>
          <w:color w:val="000000" w:themeColor="text1"/>
          <w:shd w:val="clear" w:color="auto" w:fill="FFFFFF"/>
          <w:lang w:val="en-US"/>
        </w:rPr>
        <w:t>Graham DY, Lew GM, Malaty HM, et al. Factors influencing the eradication of Helicobacter pylori with triple therapy. Gastroenterology. 1992;102(2):493-496. doi:10.1016/0016-5085(92)90095-g</w:t>
      </w:r>
      <w:r w:rsidRPr="009352B1">
        <w:rPr>
          <w:color w:val="000000" w:themeColor="text1"/>
          <w:shd w:val="clear" w:color="auto" w:fill="FFFFFF"/>
          <w:lang w:val="en-US"/>
        </w:rPr>
        <w:t>.</w:t>
      </w:r>
    </w:p>
    <w:p w14:paraId="6B957B05" w14:textId="77777777" w:rsidR="00B87CEC" w:rsidRPr="00B87CEC" w:rsidRDefault="00B87CE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B87CEC">
        <w:rPr>
          <w:color w:val="000000" w:themeColor="text1"/>
          <w:shd w:val="clear" w:color="auto" w:fill="FFFFFF"/>
          <w:lang w:val="en-US"/>
        </w:rPr>
        <w:t>Kim BJ, Lee H, Lee YC, et al. Ten-Day Concomitant, 10-Day Sequential, and 7-Day Triple Therapy as First-Line Treatment for Helicobacter pylori Infection: A Nationwide Randomized Trial in Korea. Gut Liver. 2019;13(5):531-540. doi:10.5009/gnl19136</w:t>
      </w:r>
      <w:r w:rsidRPr="009352B1">
        <w:rPr>
          <w:color w:val="000000" w:themeColor="text1"/>
          <w:shd w:val="clear" w:color="auto" w:fill="FFFFFF"/>
          <w:lang w:val="en-US"/>
        </w:rPr>
        <w:t>.</w:t>
      </w:r>
    </w:p>
    <w:p w14:paraId="2B6D9833" w14:textId="77777777" w:rsidR="00F74780" w:rsidRPr="00F74780" w:rsidRDefault="00BC3FDF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464AFD">
        <w:rPr>
          <w:color w:val="000000" w:themeColor="text1"/>
        </w:rPr>
        <w:t xml:space="preserve"> </w:t>
      </w:r>
      <w:proofErr w:type="spellStart"/>
      <w:r w:rsidRPr="00B87CEC">
        <w:rPr>
          <w:color w:val="000000" w:themeColor="text1"/>
        </w:rPr>
        <w:t>Минушкин</w:t>
      </w:r>
      <w:proofErr w:type="spellEnd"/>
      <w:r w:rsidRPr="00B87CEC">
        <w:rPr>
          <w:color w:val="000000" w:themeColor="text1"/>
        </w:rPr>
        <w:t xml:space="preserve"> О.Н., Зверков И.В., Володин Д.В., Иванова О.И., </w:t>
      </w:r>
      <w:proofErr w:type="spellStart"/>
      <w:r w:rsidRPr="00B87CEC">
        <w:rPr>
          <w:color w:val="000000" w:themeColor="text1"/>
        </w:rPr>
        <w:t>Шулешова</w:t>
      </w:r>
      <w:proofErr w:type="spellEnd"/>
      <w:r w:rsidRPr="00B87CEC">
        <w:rPr>
          <w:color w:val="000000" w:themeColor="text1"/>
        </w:rPr>
        <w:t xml:space="preserve"> А.Г. </w:t>
      </w:r>
      <w:r w:rsidR="00CF5234" w:rsidRPr="00B87CEC">
        <w:rPr>
          <w:color w:val="000000" w:themeColor="text1"/>
        </w:rPr>
        <w:t xml:space="preserve"> </w:t>
      </w:r>
      <w:r w:rsidRPr="00B87CEC">
        <w:rPr>
          <w:color w:val="000000" w:themeColor="text1"/>
        </w:rPr>
        <w:t xml:space="preserve"> Эффективность препарата "</w:t>
      </w:r>
      <w:proofErr w:type="spellStart"/>
      <w:r w:rsidRPr="00B87CEC">
        <w:rPr>
          <w:color w:val="000000" w:themeColor="text1"/>
        </w:rPr>
        <w:t>Пилобакт</w:t>
      </w:r>
      <w:proofErr w:type="spellEnd"/>
      <w:r w:rsidRPr="00B87CEC">
        <w:rPr>
          <w:color w:val="000000" w:themeColor="text1"/>
        </w:rPr>
        <w:t xml:space="preserve"> AM" в </w:t>
      </w:r>
      <w:proofErr w:type="spellStart"/>
      <w:r w:rsidRPr="00B87CEC">
        <w:rPr>
          <w:color w:val="000000" w:themeColor="text1"/>
        </w:rPr>
        <w:t>эрадикационной</w:t>
      </w:r>
      <w:proofErr w:type="spellEnd"/>
      <w:r w:rsidRPr="00B87CEC">
        <w:rPr>
          <w:color w:val="000000" w:themeColor="text1"/>
        </w:rPr>
        <w:t xml:space="preserve"> терапии язвенной </w:t>
      </w:r>
      <w:r w:rsidRPr="00B87CEC">
        <w:rPr>
          <w:color w:val="000000" w:themeColor="text1"/>
        </w:rPr>
        <w:tab/>
        <w:t xml:space="preserve">   болезни двенадцатиперстной кишки. Врач. 2008; 5: 67–69. </w:t>
      </w:r>
      <w:r w:rsidR="00CF5234" w:rsidRPr="00B87CEC">
        <w:rPr>
          <w:color w:val="000000" w:themeColor="text1"/>
        </w:rPr>
        <w:t xml:space="preserve">  </w:t>
      </w:r>
      <w:r w:rsidR="00CF5234" w:rsidRPr="00B87CEC">
        <w:rPr>
          <w:color w:val="000000" w:themeColor="text1"/>
        </w:rPr>
        <w:tab/>
      </w:r>
    </w:p>
    <w:p w14:paraId="5DC42DE5" w14:textId="77777777" w:rsidR="00493A8C" w:rsidRPr="00493A8C" w:rsidRDefault="00CF523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rStyle w:val="af0"/>
          <w:color w:val="000000" w:themeColor="text1"/>
          <w:u w:val="none"/>
          <w:shd w:val="clear" w:color="auto" w:fill="FFFFFF"/>
          <w:lang w:val="en-US"/>
        </w:rPr>
      </w:pPr>
      <w:r w:rsidRPr="00F74780">
        <w:rPr>
          <w:color w:val="000000" w:themeColor="text1"/>
          <w:shd w:val="clear" w:color="auto" w:fill="FFFFFF"/>
          <w:lang w:val="en-US"/>
        </w:rPr>
        <w:t xml:space="preserve">McFarland L.V., </w:t>
      </w:r>
      <w:proofErr w:type="spellStart"/>
      <w:r w:rsidRPr="00F74780">
        <w:rPr>
          <w:color w:val="000000" w:themeColor="text1"/>
          <w:shd w:val="clear" w:color="auto" w:fill="FFFFFF"/>
          <w:lang w:val="en-US"/>
        </w:rPr>
        <w:t>Malfertheiner</w:t>
      </w:r>
      <w:proofErr w:type="spellEnd"/>
      <w:r w:rsidRPr="00F74780">
        <w:rPr>
          <w:color w:val="000000" w:themeColor="text1"/>
          <w:shd w:val="clear" w:color="auto" w:fill="FFFFFF"/>
          <w:lang w:val="en-US"/>
        </w:rPr>
        <w:t xml:space="preserve"> P., Huang Y., Wang L. Meta-analysis of single </w:t>
      </w:r>
      <w:proofErr w:type="gramStart"/>
      <w:r w:rsidRPr="00F74780">
        <w:rPr>
          <w:color w:val="000000" w:themeColor="text1"/>
          <w:shd w:val="clear" w:color="auto" w:fill="FFFFFF"/>
          <w:lang w:val="en-US"/>
        </w:rPr>
        <w:t>strain  probiotics</w:t>
      </w:r>
      <w:proofErr w:type="gramEnd"/>
      <w:r w:rsidRPr="00F74780">
        <w:rPr>
          <w:color w:val="000000" w:themeColor="text1"/>
          <w:shd w:val="clear" w:color="auto" w:fill="FFFFFF"/>
          <w:lang w:val="en-US"/>
        </w:rPr>
        <w:t xml:space="preserve"> for the eradication of </w:t>
      </w:r>
      <w:r w:rsidRPr="00F74780">
        <w:rPr>
          <w:i/>
          <w:iCs/>
          <w:color w:val="000000" w:themeColor="text1"/>
          <w:shd w:val="clear" w:color="auto" w:fill="FFFFFF"/>
          <w:lang w:val="en-US"/>
        </w:rPr>
        <w:t>Helicobacter pylori</w:t>
      </w:r>
      <w:r w:rsidRPr="00F74780">
        <w:rPr>
          <w:color w:val="000000" w:themeColor="text1"/>
          <w:shd w:val="clear" w:color="auto" w:fill="FFFFFF"/>
          <w:lang w:val="en-US"/>
        </w:rPr>
        <w:t xml:space="preserve"> and prevention of adverse events. World J Meta-Anal 2015; 3 (2): 97-117 </w:t>
      </w:r>
      <w:proofErr w:type="spellStart"/>
      <w:r w:rsidR="00F74780" w:rsidRPr="00B87CEC">
        <w:rPr>
          <w:color w:val="000000" w:themeColor="text1"/>
          <w:shd w:val="clear" w:color="auto" w:fill="FFFFFF"/>
          <w:lang w:val="en-US"/>
        </w:rPr>
        <w:t>doi</w:t>
      </w:r>
      <w:proofErr w:type="spellEnd"/>
      <w:r w:rsidR="00F74780" w:rsidRPr="00B87CEC">
        <w:rPr>
          <w:color w:val="000000" w:themeColor="text1"/>
          <w:shd w:val="clear" w:color="auto" w:fill="FFFFFF"/>
          <w:lang w:val="en-US"/>
        </w:rPr>
        <w:t>:</w:t>
      </w:r>
      <w:r w:rsidRPr="00F74780">
        <w:rPr>
          <w:color w:val="000000" w:themeColor="text1"/>
          <w:shd w:val="clear" w:color="auto" w:fill="FFFFFF"/>
          <w:lang w:val="en-US"/>
        </w:rPr>
        <w:t> </w:t>
      </w:r>
      <w:hyperlink r:id="rId11" w:history="1">
        <w:r w:rsidRPr="00F74780">
          <w:rPr>
            <w:rStyle w:val="af0"/>
            <w:color w:val="000000" w:themeColor="text1"/>
            <w:u w:val="none"/>
            <w:shd w:val="clear" w:color="auto" w:fill="FFFFFF"/>
            <w:lang w:val="en-US"/>
          </w:rPr>
          <w:t>10.13105/</w:t>
        </w:r>
        <w:proofErr w:type="gramStart"/>
        <w:r w:rsidRPr="00F74780">
          <w:rPr>
            <w:rStyle w:val="af0"/>
            <w:color w:val="000000" w:themeColor="text1"/>
            <w:u w:val="none"/>
            <w:shd w:val="clear" w:color="auto" w:fill="FFFFFF"/>
            <w:lang w:val="en-US"/>
          </w:rPr>
          <w:t>wjma.v</w:t>
        </w:r>
        <w:proofErr w:type="gramEnd"/>
        <w:r w:rsidRPr="00F74780">
          <w:rPr>
            <w:rStyle w:val="af0"/>
            <w:color w:val="000000" w:themeColor="text1"/>
            <w:u w:val="none"/>
            <w:shd w:val="clear" w:color="auto" w:fill="FFFFFF"/>
            <w:lang w:val="en-US"/>
          </w:rPr>
          <w:t>3.i2.97</w:t>
        </w:r>
      </w:hyperlink>
      <w:r w:rsidR="00F74780">
        <w:rPr>
          <w:rStyle w:val="af0"/>
          <w:color w:val="000000" w:themeColor="text1"/>
          <w:u w:val="none"/>
          <w:shd w:val="clear" w:color="auto" w:fill="FFFFFF"/>
        </w:rPr>
        <w:t>.</w:t>
      </w:r>
    </w:p>
    <w:p w14:paraId="4424AE69" w14:textId="77777777" w:rsidR="00493A8C" w:rsidRPr="00493A8C" w:rsidRDefault="00493A8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493A8C">
        <w:rPr>
          <w:color w:val="000000" w:themeColor="text1"/>
          <w:shd w:val="clear" w:color="auto" w:fill="FFFFFF"/>
          <w:lang w:val="en-US"/>
        </w:rPr>
        <w:t xml:space="preserve">Zhou BG, Chen LX, Li B, Wan LY, Ai YW. Saccharomyces </w:t>
      </w:r>
      <w:proofErr w:type="spellStart"/>
      <w:r w:rsidRPr="00493A8C">
        <w:rPr>
          <w:color w:val="000000" w:themeColor="text1"/>
          <w:shd w:val="clear" w:color="auto" w:fill="FFFFFF"/>
          <w:lang w:val="en-US"/>
        </w:rPr>
        <w:t>boulardii</w:t>
      </w:r>
      <w:proofErr w:type="spellEnd"/>
      <w:r w:rsidRPr="00493A8C">
        <w:rPr>
          <w:color w:val="000000" w:themeColor="text1"/>
          <w:shd w:val="clear" w:color="auto" w:fill="FFFFFF"/>
          <w:lang w:val="en-US"/>
        </w:rPr>
        <w:t xml:space="preserve"> as an adjuvant therapy for Helicobacter pylori eradication: A systematic review and meta-analysis with trial sequential analysis. Helicobacter. 2019;24(5</w:t>
      </w:r>
      <w:proofErr w:type="gramStart"/>
      <w:r w:rsidRPr="00493A8C">
        <w:rPr>
          <w:color w:val="000000" w:themeColor="text1"/>
          <w:shd w:val="clear" w:color="auto" w:fill="FFFFFF"/>
          <w:lang w:val="en-US"/>
        </w:rPr>
        <w:t>):e</w:t>
      </w:r>
      <w:proofErr w:type="gramEnd"/>
      <w:r w:rsidRPr="00493A8C">
        <w:rPr>
          <w:color w:val="000000" w:themeColor="text1"/>
          <w:shd w:val="clear" w:color="auto" w:fill="FFFFFF"/>
          <w:lang w:val="en-US"/>
        </w:rPr>
        <w:t>12651. doi:10.1111/hel.12651</w:t>
      </w:r>
      <w:r>
        <w:rPr>
          <w:color w:val="000000" w:themeColor="text1"/>
          <w:shd w:val="clear" w:color="auto" w:fill="FFFFFF"/>
        </w:rPr>
        <w:t>.</w:t>
      </w:r>
      <w:r w:rsidR="00CF5234" w:rsidRPr="00493A8C">
        <w:rPr>
          <w:color w:val="000000" w:themeColor="text1"/>
          <w:shd w:val="clear" w:color="auto" w:fill="FFFFFF"/>
          <w:lang w:val="en-US"/>
        </w:rPr>
        <w:t xml:space="preserve">    </w:t>
      </w:r>
    </w:p>
    <w:p w14:paraId="46B76A65" w14:textId="77777777" w:rsidR="007C382C" w:rsidRPr="007C382C" w:rsidRDefault="00493A8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493A8C">
        <w:rPr>
          <w:color w:val="000000" w:themeColor="text1"/>
          <w:shd w:val="clear" w:color="auto" w:fill="FFFFFF"/>
          <w:lang w:val="en-US"/>
        </w:rPr>
        <w:lastRenderedPageBreak/>
        <w:t xml:space="preserve">McFarland LV, Huang Y, Wang L, </w:t>
      </w:r>
      <w:proofErr w:type="spellStart"/>
      <w:r w:rsidRPr="00493A8C">
        <w:rPr>
          <w:color w:val="000000" w:themeColor="text1"/>
          <w:shd w:val="clear" w:color="auto" w:fill="FFFFFF"/>
          <w:lang w:val="en-US"/>
        </w:rPr>
        <w:t>Malfertheiner</w:t>
      </w:r>
      <w:proofErr w:type="spellEnd"/>
      <w:r w:rsidRPr="00493A8C">
        <w:rPr>
          <w:color w:val="000000" w:themeColor="text1"/>
          <w:shd w:val="clear" w:color="auto" w:fill="FFFFFF"/>
          <w:lang w:val="en-US"/>
        </w:rPr>
        <w:t xml:space="preserve"> P. Systematic review and meta-analysis: Multi-strain probiotics as adjunct therapy for Helicobacter pylori eradication and prevention of adverse events. United European Gastroenterol J. 2016;4(4):546-561. doi:10.1177/2050640615617358</w:t>
      </w:r>
      <w:r w:rsidRPr="00493A8C">
        <w:rPr>
          <w:color w:val="000000" w:themeColor="text1"/>
          <w:shd w:val="clear" w:color="auto" w:fill="FFFFFF"/>
        </w:rPr>
        <w:t>.</w:t>
      </w:r>
    </w:p>
    <w:p w14:paraId="74964A50" w14:textId="77777777" w:rsidR="007C382C" w:rsidRPr="007C382C" w:rsidRDefault="007C382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proofErr w:type="spellStart"/>
      <w:r w:rsidRPr="007C382C">
        <w:rPr>
          <w:color w:val="000000" w:themeColor="text1"/>
          <w:shd w:val="clear" w:color="auto" w:fill="FFFFFF"/>
          <w:lang w:val="en-US"/>
        </w:rPr>
        <w:t>Szajewska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H, Horvath A, Piwowarczyk A. Meta-analysis: the effects of Saccharomyces </w:t>
      </w:r>
      <w:proofErr w:type="spellStart"/>
      <w:r w:rsidRPr="007C382C">
        <w:rPr>
          <w:color w:val="000000" w:themeColor="text1"/>
          <w:shd w:val="clear" w:color="auto" w:fill="FFFFFF"/>
          <w:lang w:val="en-US"/>
        </w:rPr>
        <w:t>boulardii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supplementation on Helicobacter pylori eradication rates and side effects during treatment [published correction appears in Aliment </w:t>
      </w:r>
      <w:proofErr w:type="spellStart"/>
      <w:r w:rsidRPr="007C382C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Ther. 2010 Dec;32(11-12):1408]. Aliment </w:t>
      </w:r>
      <w:proofErr w:type="spellStart"/>
      <w:r w:rsidRPr="007C382C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Ther. 2010;32(9):1069-1079. doi:10.1111/j.1365-2036.2010.</w:t>
      </w:r>
      <w:proofErr w:type="gramStart"/>
      <w:r w:rsidRPr="007C382C">
        <w:rPr>
          <w:color w:val="000000" w:themeColor="text1"/>
          <w:shd w:val="clear" w:color="auto" w:fill="FFFFFF"/>
          <w:lang w:val="en-US"/>
        </w:rPr>
        <w:t>04457.x</w:t>
      </w:r>
      <w:r w:rsidRPr="007C382C">
        <w:rPr>
          <w:color w:val="000000" w:themeColor="text1"/>
          <w:shd w:val="clear" w:color="auto" w:fill="FFFFFF"/>
        </w:rPr>
        <w:t>.</w:t>
      </w:r>
      <w:proofErr w:type="gramEnd"/>
    </w:p>
    <w:p w14:paraId="2842C34C" w14:textId="77777777" w:rsidR="00600B44" w:rsidRPr="00600B44" w:rsidRDefault="007C382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proofErr w:type="spellStart"/>
      <w:r w:rsidRPr="007C382C">
        <w:rPr>
          <w:color w:val="000000" w:themeColor="text1"/>
          <w:shd w:val="clear" w:color="auto" w:fill="FFFFFF"/>
          <w:lang w:val="en-US"/>
        </w:rPr>
        <w:t>Szajewska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H, Horvath A, </w:t>
      </w:r>
      <w:proofErr w:type="spellStart"/>
      <w:r w:rsidRPr="007C382C">
        <w:rPr>
          <w:color w:val="000000" w:themeColor="text1"/>
          <w:shd w:val="clear" w:color="auto" w:fill="FFFFFF"/>
          <w:lang w:val="en-US"/>
        </w:rPr>
        <w:t>Kołodziej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M. Systematic review with meta-analysis: Saccharomyces </w:t>
      </w:r>
      <w:proofErr w:type="spellStart"/>
      <w:r w:rsidRPr="007C382C">
        <w:rPr>
          <w:color w:val="000000" w:themeColor="text1"/>
          <w:shd w:val="clear" w:color="auto" w:fill="FFFFFF"/>
          <w:lang w:val="en-US"/>
        </w:rPr>
        <w:t>boulardii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supplementation and eradication of Helicobacter pylori infection. Aliment </w:t>
      </w:r>
      <w:proofErr w:type="spellStart"/>
      <w:r w:rsidRPr="007C382C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7C382C">
        <w:rPr>
          <w:color w:val="000000" w:themeColor="text1"/>
          <w:shd w:val="clear" w:color="auto" w:fill="FFFFFF"/>
          <w:lang w:val="en-US"/>
        </w:rPr>
        <w:t xml:space="preserve"> Ther. 2015;41(12):1237-1245. doi:10.1111/apt.13214</w:t>
      </w:r>
      <w:r w:rsidRPr="007C382C">
        <w:rPr>
          <w:color w:val="000000" w:themeColor="text1"/>
          <w:shd w:val="clear" w:color="auto" w:fill="FFFFFF"/>
        </w:rPr>
        <w:t>.</w:t>
      </w:r>
    </w:p>
    <w:p w14:paraId="5A4C97FF" w14:textId="77777777" w:rsidR="00600B44" w:rsidRPr="00600B44" w:rsidRDefault="00600B4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600B44">
        <w:rPr>
          <w:color w:val="000000" w:themeColor="text1"/>
          <w:shd w:val="clear" w:color="auto" w:fill="FFFFFF"/>
          <w:lang w:val="en-US"/>
        </w:rPr>
        <w:t xml:space="preserve">Dang Y, Reinhardt JD, Zhou X, Zhang G. The effect of probiotics supplementation on Helicobacter pylori eradication rates and side effects during eradication therapy: a meta-analysis. </w:t>
      </w:r>
      <w:proofErr w:type="spellStart"/>
      <w:r w:rsidRPr="00600B44">
        <w:rPr>
          <w:color w:val="000000" w:themeColor="text1"/>
          <w:shd w:val="clear" w:color="auto" w:fill="FFFFFF"/>
          <w:lang w:val="en-US"/>
        </w:rPr>
        <w:t>PLoS</w:t>
      </w:r>
      <w:proofErr w:type="spellEnd"/>
      <w:r w:rsidRPr="00600B44">
        <w:rPr>
          <w:color w:val="000000" w:themeColor="text1"/>
          <w:shd w:val="clear" w:color="auto" w:fill="FFFFFF"/>
          <w:lang w:val="en-US"/>
        </w:rPr>
        <w:t xml:space="preserve"> One. 2014;9(11</w:t>
      </w:r>
      <w:proofErr w:type="gramStart"/>
      <w:r w:rsidRPr="00600B44">
        <w:rPr>
          <w:color w:val="000000" w:themeColor="text1"/>
          <w:shd w:val="clear" w:color="auto" w:fill="FFFFFF"/>
          <w:lang w:val="en-US"/>
        </w:rPr>
        <w:t>):e</w:t>
      </w:r>
      <w:proofErr w:type="gramEnd"/>
      <w:r w:rsidRPr="00600B44">
        <w:rPr>
          <w:color w:val="000000" w:themeColor="text1"/>
          <w:shd w:val="clear" w:color="auto" w:fill="FFFFFF"/>
          <w:lang w:val="en-US"/>
        </w:rPr>
        <w:t xml:space="preserve">111030. Published 2014 Nov 3. </w:t>
      </w:r>
      <w:proofErr w:type="gramStart"/>
      <w:r w:rsidRPr="00600B44">
        <w:rPr>
          <w:color w:val="000000" w:themeColor="text1"/>
          <w:shd w:val="clear" w:color="auto" w:fill="FFFFFF"/>
          <w:lang w:val="en-US"/>
        </w:rPr>
        <w:t>doi:10.1371/journal.pone</w:t>
      </w:r>
      <w:proofErr w:type="gramEnd"/>
      <w:r w:rsidRPr="00600B44">
        <w:rPr>
          <w:color w:val="000000" w:themeColor="text1"/>
          <w:shd w:val="clear" w:color="auto" w:fill="FFFFFF"/>
          <w:lang w:val="en-US"/>
        </w:rPr>
        <w:t>.0111030</w:t>
      </w:r>
      <w:r w:rsidRPr="00600B44">
        <w:rPr>
          <w:color w:val="000000" w:themeColor="text1"/>
          <w:shd w:val="clear" w:color="auto" w:fill="FFFFFF"/>
        </w:rPr>
        <w:t>.</w:t>
      </w:r>
    </w:p>
    <w:p w14:paraId="67C4B655" w14:textId="77777777" w:rsidR="003D762B" w:rsidRPr="003D762B" w:rsidRDefault="00600B4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proofErr w:type="spellStart"/>
      <w:r w:rsidRPr="00600B44">
        <w:rPr>
          <w:color w:val="000000" w:themeColor="text1"/>
          <w:shd w:val="clear" w:color="auto" w:fill="FFFFFF"/>
          <w:lang w:val="en-US"/>
        </w:rPr>
        <w:t>Lv</w:t>
      </w:r>
      <w:proofErr w:type="spellEnd"/>
      <w:r w:rsidRPr="00600B44">
        <w:rPr>
          <w:color w:val="000000" w:themeColor="text1"/>
          <w:shd w:val="clear" w:color="auto" w:fill="FFFFFF"/>
          <w:lang w:val="en-US"/>
        </w:rPr>
        <w:t xml:space="preserve"> Z, Wang B, Zhou X, et al. Efficacy and safety of probiotics as adjuvant agents for Helicobacter pylori infection: A meta-analysis. Exp Ther Med. 2015;9(3):707-716. doi:10.3892/etm.2015.2174</w:t>
      </w:r>
      <w:r w:rsidR="00CF5234" w:rsidRPr="00600B44">
        <w:rPr>
          <w:color w:val="000000" w:themeColor="text1"/>
          <w:shd w:val="clear" w:color="auto" w:fill="FFFFFF"/>
          <w:lang w:val="en-US"/>
        </w:rPr>
        <w:t>.</w:t>
      </w:r>
    </w:p>
    <w:p w14:paraId="793BA017" w14:textId="77777777" w:rsidR="00C2006C" w:rsidRPr="00C2006C" w:rsidRDefault="003D762B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hd w:val="clear" w:color="auto" w:fill="FFFFFF"/>
          <w:lang w:val="en-US"/>
        </w:rPr>
      </w:pPr>
      <w:r w:rsidRPr="003D762B">
        <w:rPr>
          <w:color w:val="000000" w:themeColor="text1"/>
          <w:shd w:val="clear" w:color="auto" w:fill="FFFFFF"/>
          <w:lang w:val="en-US"/>
        </w:rPr>
        <w:t xml:space="preserve">Zheng X, Lyu L, Mei Z. Lactobacillus-containing probiotic supplementation increases Helicobacter pylori eradication rate: evidence from a meta-analysis. Rev </w:t>
      </w:r>
      <w:proofErr w:type="spellStart"/>
      <w:r w:rsidRPr="003D762B">
        <w:rPr>
          <w:color w:val="000000" w:themeColor="text1"/>
          <w:shd w:val="clear" w:color="auto" w:fill="FFFFFF"/>
          <w:lang w:val="en-US"/>
        </w:rPr>
        <w:t>Esp</w:t>
      </w:r>
      <w:proofErr w:type="spellEnd"/>
      <w:r w:rsidRPr="003D762B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3D762B">
        <w:rPr>
          <w:color w:val="000000" w:themeColor="text1"/>
          <w:shd w:val="clear" w:color="auto" w:fill="FFFFFF"/>
          <w:lang w:val="en-US"/>
        </w:rPr>
        <w:t>Enferm</w:t>
      </w:r>
      <w:proofErr w:type="spellEnd"/>
      <w:r w:rsidRPr="003D762B">
        <w:rPr>
          <w:color w:val="000000" w:themeColor="text1"/>
          <w:shd w:val="clear" w:color="auto" w:fill="FFFFFF"/>
          <w:lang w:val="en-US"/>
        </w:rPr>
        <w:t xml:space="preserve"> Dig. 2013;105(8):445-453. doi:10.4321/s1130-01082013000800002</w:t>
      </w:r>
      <w:r w:rsidRPr="003D762B">
        <w:rPr>
          <w:color w:val="000000" w:themeColor="text1"/>
          <w:shd w:val="clear" w:color="auto" w:fill="FFFFFF"/>
        </w:rPr>
        <w:t>.</w:t>
      </w:r>
    </w:p>
    <w:p w14:paraId="508A5ADE" w14:textId="77777777" w:rsidR="008C00A2" w:rsidRPr="008C00A2" w:rsidRDefault="00C2006C" w:rsidP="00966CA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8C00A2">
        <w:rPr>
          <w:color w:val="000000" w:themeColor="text1"/>
          <w:lang w:val="en-US"/>
        </w:rPr>
        <w:t xml:space="preserve">Goodman C, Keating G, </w:t>
      </w:r>
      <w:proofErr w:type="spellStart"/>
      <w:r w:rsidRPr="008C00A2">
        <w:rPr>
          <w:color w:val="000000" w:themeColor="text1"/>
          <w:lang w:val="en-US"/>
        </w:rPr>
        <w:t>Georgousopoulou</w:t>
      </w:r>
      <w:proofErr w:type="spellEnd"/>
      <w:r w:rsidRPr="008C00A2">
        <w:rPr>
          <w:color w:val="000000" w:themeColor="text1"/>
          <w:lang w:val="en-US"/>
        </w:rPr>
        <w:t xml:space="preserve"> E, Hespe C, Levett K. Probiotics for the prevention of antibiotic-associated </w:t>
      </w:r>
      <w:proofErr w:type="spellStart"/>
      <w:r w:rsidRPr="008C00A2">
        <w:rPr>
          <w:color w:val="000000" w:themeColor="text1"/>
          <w:lang w:val="en-US"/>
        </w:rPr>
        <w:t>diarrhoea</w:t>
      </w:r>
      <w:proofErr w:type="spellEnd"/>
      <w:r w:rsidRPr="008C00A2">
        <w:rPr>
          <w:color w:val="000000" w:themeColor="text1"/>
          <w:lang w:val="en-US"/>
        </w:rPr>
        <w:t>: a systematic review and meta-analysis. BMJ Open. 2021;11(8</w:t>
      </w:r>
      <w:proofErr w:type="gramStart"/>
      <w:r w:rsidRPr="008C00A2">
        <w:rPr>
          <w:color w:val="000000" w:themeColor="text1"/>
          <w:lang w:val="en-US"/>
        </w:rPr>
        <w:t>):e</w:t>
      </w:r>
      <w:proofErr w:type="gramEnd"/>
      <w:r w:rsidRPr="008C00A2">
        <w:rPr>
          <w:color w:val="000000" w:themeColor="text1"/>
          <w:lang w:val="en-US"/>
        </w:rPr>
        <w:t>043054. Published 2021 Aug 12. doi:10.1136/bmjopen-2020-043054</w:t>
      </w:r>
      <w:r w:rsidRPr="008C00A2">
        <w:rPr>
          <w:color w:val="000000" w:themeColor="text1"/>
        </w:rPr>
        <w:t>.</w:t>
      </w:r>
      <w:r w:rsidR="001C1BD1" w:rsidRPr="008C00A2">
        <w:rPr>
          <w:color w:val="000000" w:themeColor="text1"/>
          <w:shd w:val="clear" w:color="auto" w:fill="FFFFFF"/>
          <w:lang w:val="en-US"/>
        </w:rPr>
        <w:t xml:space="preserve">      </w:t>
      </w:r>
    </w:p>
    <w:p w14:paraId="1FD66F84" w14:textId="77777777" w:rsidR="009E317B" w:rsidRPr="009E317B" w:rsidRDefault="008C00A2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8C00A2">
        <w:rPr>
          <w:color w:val="000000" w:themeColor="text1"/>
          <w:lang w:val="en-US"/>
        </w:rPr>
        <w:t xml:space="preserve">Goldenberg JZ, Yap C, Lytvyn L, et al. Probiotics for the prevention of Clostridium difficile-associated diarrhea in adults and children. Cochrane Database Syst Rev. 2017;12(12):CD006095. Published 2017 Dec 19. </w:t>
      </w:r>
      <w:proofErr w:type="gramStart"/>
      <w:r w:rsidRPr="008C00A2">
        <w:rPr>
          <w:color w:val="000000" w:themeColor="text1"/>
          <w:lang w:val="en-US"/>
        </w:rPr>
        <w:t>doi:10.1002/14651858.CD006095.pub4</w:t>
      </w:r>
      <w:proofErr w:type="gramEnd"/>
      <w:r w:rsidRPr="00B554D1">
        <w:rPr>
          <w:color w:val="000000" w:themeColor="text1"/>
          <w:lang w:val="en-US"/>
        </w:rPr>
        <w:t>.</w:t>
      </w:r>
    </w:p>
    <w:p w14:paraId="57EBFB96" w14:textId="77777777" w:rsidR="009E317B" w:rsidRPr="009E317B" w:rsidRDefault="009E317B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9E317B">
        <w:rPr>
          <w:color w:val="000000" w:themeColor="text1"/>
          <w:shd w:val="clear" w:color="auto" w:fill="FFFFFF"/>
          <w:lang w:val="en-US"/>
        </w:rPr>
        <w:t xml:space="preserve">Cárdenas PA, </w:t>
      </w:r>
      <w:proofErr w:type="spellStart"/>
      <w:r w:rsidRPr="009E317B">
        <w:rPr>
          <w:color w:val="000000" w:themeColor="text1"/>
          <w:shd w:val="clear" w:color="auto" w:fill="FFFFFF"/>
          <w:lang w:val="en-US"/>
        </w:rPr>
        <w:t>Garcés</w:t>
      </w:r>
      <w:proofErr w:type="spellEnd"/>
      <w:r w:rsidRPr="009E317B">
        <w:rPr>
          <w:color w:val="000000" w:themeColor="text1"/>
          <w:shd w:val="clear" w:color="auto" w:fill="FFFFFF"/>
          <w:lang w:val="en-US"/>
        </w:rPr>
        <w:t xml:space="preserve"> D, Prado-Vivar B, et al. Effect of Saccharomyces </w:t>
      </w:r>
      <w:proofErr w:type="spellStart"/>
      <w:r w:rsidRPr="009E317B">
        <w:rPr>
          <w:color w:val="000000" w:themeColor="text1"/>
          <w:shd w:val="clear" w:color="auto" w:fill="FFFFFF"/>
          <w:lang w:val="en-US"/>
        </w:rPr>
        <w:t>boulardii</w:t>
      </w:r>
      <w:proofErr w:type="spellEnd"/>
      <w:r w:rsidRPr="009E317B">
        <w:rPr>
          <w:color w:val="000000" w:themeColor="text1"/>
          <w:shd w:val="clear" w:color="auto" w:fill="FFFFFF"/>
          <w:lang w:val="en-US"/>
        </w:rPr>
        <w:t xml:space="preserve"> CNCM I-745 as complementary treatment of Helicobacter pylori infection on gut microbiome. Eur J Clin Microbiol Infect Dis. 2020;39(7):1365-1372. doi:10.1007/s10096-020-03854-3</w:t>
      </w:r>
      <w:r w:rsidRPr="009352B1">
        <w:rPr>
          <w:color w:val="000000" w:themeColor="text1"/>
          <w:shd w:val="clear" w:color="auto" w:fill="FFFFFF"/>
          <w:lang w:val="en-US"/>
        </w:rPr>
        <w:t>.</w:t>
      </w:r>
    </w:p>
    <w:p w14:paraId="37FCAF5B" w14:textId="77777777" w:rsidR="00770173" w:rsidRPr="00770173" w:rsidRDefault="009E317B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9E317B">
        <w:rPr>
          <w:color w:val="000000" w:themeColor="text1"/>
          <w:shd w:val="clear" w:color="auto" w:fill="FFFFFF"/>
          <w:lang w:val="en-US"/>
        </w:rPr>
        <w:t xml:space="preserve">Seddik H, </w:t>
      </w:r>
      <w:proofErr w:type="spellStart"/>
      <w:r w:rsidRPr="009E317B">
        <w:rPr>
          <w:color w:val="000000" w:themeColor="text1"/>
          <w:shd w:val="clear" w:color="auto" w:fill="FFFFFF"/>
          <w:lang w:val="en-US"/>
        </w:rPr>
        <w:t>Boutallaka</w:t>
      </w:r>
      <w:proofErr w:type="spellEnd"/>
      <w:r w:rsidRPr="009E317B">
        <w:rPr>
          <w:color w:val="000000" w:themeColor="text1"/>
          <w:shd w:val="clear" w:color="auto" w:fill="FFFFFF"/>
          <w:lang w:val="en-US"/>
        </w:rPr>
        <w:t xml:space="preserve"> H, </w:t>
      </w:r>
      <w:proofErr w:type="spellStart"/>
      <w:r w:rsidRPr="009E317B">
        <w:rPr>
          <w:color w:val="000000" w:themeColor="text1"/>
          <w:shd w:val="clear" w:color="auto" w:fill="FFFFFF"/>
          <w:lang w:val="en-US"/>
        </w:rPr>
        <w:t>Elkoti</w:t>
      </w:r>
      <w:proofErr w:type="spellEnd"/>
      <w:r w:rsidRPr="009E317B">
        <w:rPr>
          <w:color w:val="000000" w:themeColor="text1"/>
          <w:shd w:val="clear" w:color="auto" w:fill="FFFFFF"/>
          <w:lang w:val="en-US"/>
        </w:rPr>
        <w:t xml:space="preserve"> I, et al. Saccharomyces </w:t>
      </w:r>
      <w:proofErr w:type="spellStart"/>
      <w:r w:rsidRPr="009E317B">
        <w:rPr>
          <w:color w:val="000000" w:themeColor="text1"/>
          <w:shd w:val="clear" w:color="auto" w:fill="FFFFFF"/>
          <w:lang w:val="en-US"/>
        </w:rPr>
        <w:t>boulardii</w:t>
      </w:r>
      <w:proofErr w:type="spellEnd"/>
      <w:r w:rsidRPr="009E317B">
        <w:rPr>
          <w:color w:val="000000" w:themeColor="text1"/>
          <w:shd w:val="clear" w:color="auto" w:fill="FFFFFF"/>
          <w:lang w:val="en-US"/>
        </w:rPr>
        <w:t xml:space="preserve"> CNCM I-745 plus sequential therapy for Helicobacter pylori infections: a randomized, open-label trial. Eur J Clin </w:t>
      </w:r>
      <w:proofErr w:type="spellStart"/>
      <w:r w:rsidRPr="009E317B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9E317B">
        <w:rPr>
          <w:color w:val="000000" w:themeColor="text1"/>
          <w:shd w:val="clear" w:color="auto" w:fill="FFFFFF"/>
          <w:lang w:val="en-US"/>
        </w:rPr>
        <w:t>. 2019;75(5):639-645. doi:10.1007/s00228-019-02625-0</w:t>
      </w:r>
      <w:r w:rsidRPr="009352B1">
        <w:rPr>
          <w:color w:val="000000" w:themeColor="text1"/>
          <w:shd w:val="clear" w:color="auto" w:fill="FFFFFF"/>
          <w:lang w:val="en-US"/>
        </w:rPr>
        <w:t>.</w:t>
      </w:r>
    </w:p>
    <w:p w14:paraId="48A9D0E2" w14:textId="77777777" w:rsidR="002D3553" w:rsidRPr="002D3553" w:rsidRDefault="00770173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770173">
        <w:rPr>
          <w:color w:val="000000" w:themeColor="text1"/>
          <w:shd w:val="clear" w:color="auto" w:fill="FFFFFF"/>
          <w:lang w:val="en-US"/>
        </w:rPr>
        <w:lastRenderedPageBreak/>
        <w:t xml:space="preserve">Martín R, Langella P. Emerging Health Concepts in the Probiotics Field: Streamlining the Definitions. Front Microbiol. </w:t>
      </w:r>
      <w:proofErr w:type="gramStart"/>
      <w:r w:rsidRPr="00770173">
        <w:rPr>
          <w:color w:val="000000" w:themeColor="text1"/>
          <w:shd w:val="clear" w:color="auto" w:fill="FFFFFF"/>
          <w:lang w:val="en-US"/>
        </w:rPr>
        <w:t>2019;10:1047</w:t>
      </w:r>
      <w:proofErr w:type="gramEnd"/>
      <w:r w:rsidRPr="00770173">
        <w:rPr>
          <w:color w:val="000000" w:themeColor="text1"/>
          <w:shd w:val="clear" w:color="auto" w:fill="FFFFFF"/>
          <w:lang w:val="en-US"/>
        </w:rPr>
        <w:t>. Published 2019 May 21. doi:10.3389/fmicb.2019.01047</w:t>
      </w:r>
      <w:r w:rsidRPr="00770173">
        <w:rPr>
          <w:color w:val="000000" w:themeColor="text1"/>
          <w:shd w:val="clear" w:color="auto" w:fill="FFFFFF"/>
        </w:rPr>
        <w:t>.</w:t>
      </w:r>
    </w:p>
    <w:p w14:paraId="225500EF" w14:textId="77777777" w:rsidR="002D3553" w:rsidRPr="002D3553" w:rsidRDefault="003F15CB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2D3553">
        <w:rPr>
          <w:color w:val="000000" w:themeColor="text1"/>
          <w:shd w:val="clear" w:color="auto" w:fill="FFFFFF"/>
          <w:lang w:val="en-US"/>
        </w:rPr>
        <w:t>Shenderov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 xml:space="preserve"> B.A. </w:t>
      </w:r>
      <w:proofErr w:type="spellStart"/>
      <w:r w:rsidRPr="002D3553">
        <w:rPr>
          <w:color w:val="000000" w:themeColor="text1"/>
          <w:shd w:val="clear" w:color="auto" w:fill="FFFFFF"/>
          <w:lang w:val="en-US"/>
        </w:rPr>
        <w:t>Metabiotics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 xml:space="preserve">: novel idea or natural development of probiotic </w:t>
      </w:r>
      <w:r w:rsidRPr="002D3553">
        <w:rPr>
          <w:color w:val="000000" w:themeColor="text1"/>
          <w:shd w:val="clear" w:color="auto" w:fill="FFFFFF"/>
          <w:lang w:val="en-US"/>
        </w:rPr>
        <w:tab/>
        <w:t xml:space="preserve">   conception. </w:t>
      </w:r>
      <w:proofErr w:type="spellStart"/>
      <w:r w:rsidRPr="002D3553">
        <w:rPr>
          <w:color w:val="000000" w:themeColor="text1"/>
          <w:shd w:val="clear" w:color="auto" w:fill="FFFFFF"/>
          <w:lang w:val="en-US"/>
        </w:rPr>
        <w:t>Microb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D3553">
        <w:rPr>
          <w:color w:val="000000" w:themeColor="text1"/>
          <w:shd w:val="clear" w:color="auto" w:fill="FFFFFF"/>
          <w:lang w:val="en-US"/>
        </w:rPr>
        <w:t>Ecol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 xml:space="preserve"> Health Dis. 2013; </w:t>
      </w:r>
      <w:r w:rsidR="002D3553" w:rsidRPr="00770173">
        <w:rPr>
          <w:color w:val="000000" w:themeColor="text1"/>
          <w:shd w:val="clear" w:color="auto" w:fill="FFFFFF"/>
          <w:lang w:val="en-US"/>
        </w:rPr>
        <w:t>doi:</w:t>
      </w:r>
      <w:r w:rsidRPr="002D3553">
        <w:rPr>
          <w:color w:val="000000" w:themeColor="text1"/>
          <w:shd w:val="clear" w:color="auto" w:fill="FFFFFF"/>
          <w:lang w:val="en-US"/>
        </w:rPr>
        <w:t>10.3402/</w:t>
      </w:r>
      <w:proofErr w:type="gramStart"/>
      <w:r w:rsidRPr="002D3553">
        <w:rPr>
          <w:color w:val="000000" w:themeColor="text1"/>
          <w:shd w:val="clear" w:color="auto" w:fill="FFFFFF"/>
          <w:lang w:val="en-US"/>
        </w:rPr>
        <w:t>mehd.v</w:t>
      </w:r>
      <w:proofErr w:type="gramEnd"/>
      <w:r w:rsidRPr="002D3553">
        <w:rPr>
          <w:color w:val="000000" w:themeColor="text1"/>
          <w:shd w:val="clear" w:color="auto" w:fill="FFFFFF"/>
          <w:lang w:val="en-US"/>
        </w:rPr>
        <w:t>24i0.20399.</w:t>
      </w:r>
    </w:p>
    <w:p w14:paraId="7C45A454" w14:textId="54CA2491" w:rsidR="007F629A" w:rsidRPr="007F629A" w:rsidRDefault="003F15CB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2D3553">
        <w:rPr>
          <w:color w:val="000000" w:themeColor="text1"/>
          <w:shd w:val="clear" w:color="auto" w:fill="FFFFFF"/>
          <w:lang w:val="en-US"/>
        </w:rPr>
        <w:t xml:space="preserve">Parth K, </w:t>
      </w:r>
      <w:proofErr w:type="spellStart"/>
      <w:r w:rsidRPr="002D3553">
        <w:rPr>
          <w:color w:val="000000" w:themeColor="text1"/>
          <w:shd w:val="clear" w:color="auto" w:fill="FFFFFF"/>
          <w:lang w:val="en-US"/>
        </w:rPr>
        <w:t>Prudhivi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 xml:space="preserve"> R, </w:t>
      </w:r>
      <w:proofErr w:type="spellStart"/>
      <w:r w:rsidRPr="002D3553">
        <w:rPr>
          <w:color w:val="000000" w:themeColor="text1"/>
          <w:shd w:val="clear" w:color="auto" w:fill="FFFFFF"/>
          <w:lang w:val="en-US"/>
        </w:rPr>
        <w:t>Palatheeya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 xml:space="preserve"> S</w:t>
      </w:r>
      <w:r w:rsidR="002D3553">
        <w:rPr>
          <w:color w:val="000000" w:themeColor="text1"/>
          <w:shd w:val="clear" w:color="auto" w:fill="FFFFFF"/>
          <w:lang w:val="en-US"/>
        </w:rPr>
        <w:t>,</w:t>
      </w:r>
      <w:r w:rsidRPr="002D3553">
        <w:rPr>
          <w:color w:val="000000" w:themeColor="text1"/>
          <w:shd w:val="clear" w:color="auto" w:fill="FFFFFF"/>
          <w:lang w:val="en-US"/>
        </w:rPr>
        <w:t xml:space="preserve"> </w:t>
      </w:r>
      <w:r w:rsidR="002D3553">
        <w:rPr>
          <w:color w:val="000000" w:themeColor="text1"/>
          <w:shd w:val="clear" w:color="auto" w:fill="FFFFFF"/>
          <w:lang w:val="en-US"/>
        </w:rPr>
        <w:t>et al.</w:t>
      </w:r>
      <w:r w:rsidRPr="002D3553">
        <w:rPr>
          <w:color w:val="000000" w:themeColor="text1"/>
          <w:shd w:val="clear" w:color="auto" w:fill="FFFFFF"/>
          <w:lang w:val="en-US"/>
        </w:rPr>
        <w:t xml:space="preserve"> Efficacy of Lactobacillus </w:t>
      </w:r>
      <w:proofErr w:type="spellStart"/>
      <w:r w:rsidRPr="002D3553">
        <w:rPr>
          <w:color w:val="000000" w:themeColor="text1"/>
          <w:shd w:val="clear" w:color="auto" w:fill="FFFFFF"/>
          <w:lang w:val="en-US"/>
        </w:rPr>
        <w:t>reuteri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 xml:space="preserve"> Supplementation in Eradication of H. pylori: A Comparison Study with Triple Drug Therapy</w:t>
      </w:r>
      <w:r w:rsidR="002D3553" w:rsidRPr="00B554D1">
        <w:rPr>
          <w:color w:val="000000" w:themeColor="text1"/>
          <w:shd w:val="clear" w:color="auto" w:fill="FFFFFF"/>
          <w:lang w:val="en-US"/>
        </w:rPr>
        <w:t>.</w:t>
      </w:r>
      <w:r w:rsidRPr="002D3553">
        <w:rPr>
          <w:color w:val="000000" w:themeColor="text1"/>
          <w:shd w:val="clear" w:color="auto" w:fill="FFFFFF"/>
          <w:lang w:val="en-US"/>
        </w:rPr>
        <w:t> Journal of Pharmaceutical</w:t>
      </w:r>
      <w:r w:rsidR="001B7BCD" w:rsidRPr="002D3553">
        <w:rPr>
          <w:color w:val="000000" w:themeColor="text1"/>
          <w:shd w:val="clear" w:color="auto" w:fill="FFFFFF"/>
          <w:lang w:val="en-US"/>
        </w:rPr>
        <w:t xml:space="preserve"> </w:t>
      </w:r>
      <w:r w:rsidRPr="002D3553">
        <w:rPr>
          <w:color w:val="000000" w:themeColor="text1"/>
          <w:shd w:val="clear" w:color="auto" w:fill="FFFFFF"/>
          <w:lang w:val="en-US"/>
        </w:rPr>
        <w:t>Research Internationa</w:t>
      </w:r>
      <w:r w:rsidR="002D3553">
        <w:rPr>
          <w:color w:val="000000" w:themeColor="text1"/>
          <w:shd w:val="clear" w:color="auto" w:fill="FFFFFF"/>
          <w:lang w:val="en-US"/>
        </w:rPr>
        <w:t xml:space="preserve">l. </w:t>
      </w:r>
      <w:r w:rsidR="002D3553" w:rsidRPr="002D3553">
        <w:rPr>
          <w:color w:val="000000" w:themeColor="text1"/>
          <w:shd w:val="clear" w:color="auto" w:fill="FFFFFF"/>
          <w:lang w:val="en-US"/>
        </w:rPr>
        <w:t>2021</w:t>
      </w:r>
      <w:r w:rsidR="002D3553">
        <w:rPr>
          <w:color w:val="000000" w:themeColor="text1"/>
          <w:shd w:val="clear" w:color="auto" w:fill="FFFFFF"/>
          <w:lang w:val="en-US"/>
        </w:rPr>
        <w:t>;</w:t>
      </w:r>
      <w:r w:rsidRPr="002D3553">
        <w:rPr>
          <w:color w:val="000000" w:themeColor="text1"/>
          <w:shd w:val="clear" w:color="auto" w:fill="FFFFFF"/>
          <w:lang w:val="en-US"/>
        </w:rPr>
        <w:t xml:space="preserve"> 33(52B)</w:t>
      </w:r>
      <w:r w:rsidR="002D3553">
        <w:rPr>
          <w:color w:val="000000" w:themeColor="text1"/>
          <w:shd w:val="clear" w:color="auto" w:fill="FFFFFF"/>
          <w:lang w:val="en-US"/>
        </w:rPr>
        <w:t>:</w:t>
      </w:r>
      <w:r w:rsidRPr="002D3553">
        <w:rPr>
          <w:color w:val="000000" w:themeColor="text1"/>
          <w:shd w:val="clear" w:color="auto" w:fill="FFFFFF"/>
          <w:lang w:val="en-US"/>
        </w:rPr>
        <w:t xml:space="preserve"> 151–159. </w:t>
      </w:r>
      <w:r w:rsidR="002D3553" w:rsidRPr="00770173">
        <w:rPr>
          <w:color w:val="000000" w:themeColor="text1"/>
          <w:shd w:val="clear" w:color="auto" w:fill="FFFFFF"/>
          <w:lang w:val="en-US"/>
        </w:rPr>
        <w:t>doi:</w:t>
      </w:r>
      <w:r w:rsidRPr="002D3553">
        <w:rPr>
          <w:color w:val="000000" w:themeColor="text1"/>
          <w:shd w:val="clear" w:color="auto" w:fill="FFFFFF"/>
          <w:lang w:val="en-US"/>
        </w:rPr>
        <w:t>10.9734/</w:t>
      </w:r>
      <w:proofErr w:type="spellStart"/>
      <w:r w:rsidRPr="002D3553">
        <w:rPr>
          <w:color w:val="000000" w:themeColor="text1"/>
          <w:shd w:val="clear" w:color="auto" w:fill="FFFFFF"/>
          <w:lang w:val="en-US"/>
        </w:rPr>
        <w:t>jpri</w:t>
      </w:r>
      <w:proofErr w:type="spellEnd"/>
      <w:r w:rsidRPr="002D3553">
        <w:rPr>
          <w:color w:val="000000" w:themeColor="text1"/>
          <w:shd w:val="clear" w:color="auto" w:fill="FFFFFF"/>
          <w:lang w:val="en-US"/>
        </w:rPr>
        <w:t>/2021/v33i52B33611</w:t>
      </w:r>
      <w:r w:rsidR="007F629A">
        <w:rPr>
          <w:color w:val="000000" w:themeColor="text1"/>
          <w:shd w:val="clear" w:color="auto" w:fill="FFFFFF"/>
          <w:lang w:val="en-US"/>
        </w:rPr>
        <w:t>.</w:t>
      </w:r>
      <w:r w:rsidR="00BC7D89" w:rsidRPr="002D3553">
        <w:rPr>
          <w:color w:val="000000" w:themeColor="text1"/>
          <w:shd w:val="clear" w:color="auto" w:fill="FFFFFF"/>
          <w:lang w:val="en-US"/>
        </w:rPr>
        <w:t xml:space="preserve"> </w:t>
      </w:r>
      <w:r w:rsidR="00BC7D89" w:rsidRPr="002D3553">
        <w:rPr>
          <w:color w:val="000000" w:themeColor="text1"/>
          <w:shd w:val="clear" w:color="auto" w:fill="FFFFFF"/>
          <w:lang w:val="en-US"/>
        </w:rPr>
        <w:tab/>
      </w:r>
    </w:p>
    <w:p w14:paraId="06DD684A" w14:textId="77777777" w:rsidR="007F629A" w:rsidRPr="007F629A" w:rsidRDefault="007F629A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7F629A">
        <w:rPr>
          <w:color w:val="000000" w:themeColor="text1"/>
          <w:shd w:val="clear" w:color="auto" w:fill="FFFFFF"/>
          <w:lang w:val="en-US"/>
        </w:rPr>
        <w:t>Leontiadis</w:t>
      </w:r>
      <w:proofErr w:type="spellEnd"/>
      <w:r w:rsidRPr="007F629A">
        <w:rPr>
          <w:color w:val="000000" w:themeColor="text1"/>
          <w:shd w:val="clear" w:color="auto" w:fill="FFFFFF"/>
          <w:lang w:val="en-US"/>
        </w:rPr>
        <w:t xml:space="preserve"> GI, Sharma VK, Howden CW. Systematic review and meta-analysis: proton-pump inhibitor treatment for ulcer bleeding reduces transfusion requirements and hospital stay--results from the Cochrane Collaboration. Aliment </w:t>
      </w:r>
      <w:proofErr w:type="spellStart"/>
      <w:r w:rsidRPr="007F629A">
        <w:rPr>
          <w:color w:val="000000" w:themeColor="text1"/>
          <w:shd w:val="clear" w:color="auto" w:fill="FFFFFF"/>
          <w:lang w:val="en-US"/>
        </w:rPr>
        <w:t>Pharmacol</w:t>
      </w:r>
      <w:proofErr w:type="spellEnd"/>
      <w:r w:rsidRPr="007F629A">
        <w:rPr>
          <w:color w:val="000000" w:themeColor="text1"/>
          <w:shd w:val="clear" w:color="auto" w:fill="FFFFFF"/>
          <w:lang w:val="en-US"/>
        </w:rPr>
        <w:t xml:space="preserve"> Ther. 2005;22(3):169-174. doi:10.1111/j.1365-2036.2005.</w:t>
      </w:r>
      <w:proofErr w:type="gramStart"/>
      <w:r w:rsidRPr="007F629A">
        <w:rPr>
          <w:color w:val="000000" w:themeColor="text1"/>
          <w:shd w:val="clear" w:color="auto" w:fill="FFFFFF"/>
          <w:lang w:val="en-US"/>
        </w:rPr>
        <w:t>02546.x</w:t>
      </w:r>
      <w:r>
        <w:rPr>
          <w:color w:val="000000" w:themeColor="text1"/>
          <w:shd w:val="clear" w:color="auto" w:fill="FFFFFF"/>
          <w:lang w:val="en-US"/>
        </w:rPr>
        <w:t>.</w:t>
      </w:r>
      <w:proofErr w:type="gramEnd"/>
    </w:p>
    <w:p w14:paraId="464B2DCF" w14:textId="77777777" w:rsidR="007F629A" w:rsidRDefault="007F629A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7F629A">
        <w:rPr>
          <w:color w:val="000000" w:themeColor="text1"/>
          <w:lang w:val="en-US"/>
        </w:rPr>
        <w:t xml:space="preserve">Syam AF, Setiawati A. Safety and efficacy of lansoprazole injection in upper gastrointestinal bleeding: a </w:t>
      </w:r>
      <w:proofErr w:type="spellStart"/>
      <w:r w:rsidRPr="007F629A">
        <w:rPr>
          <w:color w:val="000000" w:themeColor="text1"/>
          <w:lang w:val="en-US"/>
        </w:rPr>
        <w:t>postmarketing</w:t>
      </w:r>
      <w:proofErr w:type="spellEnd"/>
      <w:r w:rsidRPr="007F629A">
        <w:rPr>
          <w:color w:val="000000" w:themeColor="text1"/>
          <w:lang w:val="en-US"/>
        </w:rPr>
        <w:t xml:space="preserve"> surveillance conducted in Indonesia. Acta Med Indones. 2013;45(2):123-129.</w:t>
      </w:r>
    </w:p>
    <w:p w14:paraId="566D7BFF" w14:textId="77777777" w:rsidR="00BA7BBE" w:rsidRDefault="007F629A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7F629A">
        <w:rPr>
          <w:color w:val="000000" w:themeColor="text1"/>
          <w:lang w:val="en-US"/>
        </w:rPr>
        <w:t>Imperiale TF, Birgisson S. Somatostatin or octreotide compared with H2 antagonists and placebo in the management of acute nonvariceal upper gastrointestinal hemorrhage: a meta-analysis [published correction appears in Ann Intern Med 1998 Feb 1;128(3):245]. Ann Intern Med. 1997;127(12):1062-1071. doi:10.7326/0003-4819-127-12-199712150-00002.</w:t>
      </w:r>
    </w:p>
    <w:p w14:paraId="0225D6D2" w14:textId="77777777" w:rsidR="00BA7BBE" w:rsidRDefault="00BA7BBE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A7BBE">
        <w:rPr>
          <w:color w:val="000000" w:themeColor="text1"/>
          <w:lang w:val="en-US"/>
        </w:rPr>
        <w:t>Spahn DR, Bouillon B, Cerny V, et al. The European guideline on management of major bleeding and coagulopathy following trauma: fifth edition. Crit Care. 2019;23(1):98. Published 2019 Mar 27. doi:10.1186/s13054-019-2347-3.</w:t>
      </w:r>
    </w:p>
    <w:p w14:paraId="66A115E0" w14:textId="77777777" w:rsidR="000816CC" w:rsidRDefault="00BA7BBE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A7BBE">
        <w:rPr>
          <w:color w:val="000000" w:themeColor="text1"/>
          <w:lang w:val="en-US"/>
        </w:rPr>
        <w:t>Advanced Trauma Life Support (ATLS).</w:t>
      </w:r>
      <w:r w:rsidR="000348A1" w:rsidRPr="00BA7BBE">
        <w:rPr>
          <w:color w:val="000000" w:themeColor="text1"/>
          <w:lang w:val="en-US"/>
        </w:rPr>
        <w:t xml:space="preserve"> Student </w:t>
      </w:r>
      <w:r w:rsidRPr="00BA7BBE">
        <w:rPr>
          <w:color w:val="000000" w:themeColor="text1"/>
          <w:lang w:val="en-US"/>
        </w:rPr>
        <w:t xml:space="preserve">Course </w:t>
      </w:r>
      <w:r w:rsidR="000348A1" w:rsidRPr="00BA7BBE">
        <w:rPr>
          <w:color w:val="000000" w:themeColor="text1"/>
          <w:lang w:val="en-US"/>
        </w:rPr>
        <w:t>Manual</w:t>
      </w:r>
      <w:r w:rsidRPr="00BA7BBE">
        <w:rPr>
          <w:color w:val="000000" w:themeColor="text1"/>
          <w:lang w:val="en-US"/>
        </w:rPr>
        <w:t>.</w:t>
      </w:r>
      <w:r w:rsidR="000348A1" w:rsidRPr="00BA7BBE">
        <w:rPr>
          <w:color w:val="000000" w:themeColor="text1"/>
          <w:lang w:val="en-US"/>
        </w:rPr>
        <w:t xml:space="preserve"> 10</w:t>
      </w:r>
      <w:proofErr w:type="gramStart"/>
      <w:r w:rsidR="000348A1" w:rsidRPr="00BA7BBE">
        <w:rPr>
          <w:color w:val="000000" w:themeColor="text1"/>
          <w:lang w:val="en-US"/>
        </w:rPr>
        <w:t xml:space="preserve">th </w:t>
      </w:r>
      <w:r w:rsidR="00CA033D" w:rsidRPr="00BA7BBE">
        <w:rPr>
          <w:color w:val="000000" w:themeColor="text1"/>
          <w:lang w:val="en-US"/>
        </w:rPr>
        <w:t xml:space="preserve"> </w:t>
      </w:r>
      <w:r w:rsidR="000348A1" w:rsidRPr="00BA7BBE">
        <w:rPr>
          <w:color w:val="000000" w:themeColor="text1"/>
          <w:lang w:val="en-US"/>
        </w:rPr>
        <w:t>Edition</w:t>
      </w:r>
      <w:proofErr w:type="gramEnd"/>
      <w:r w:rsidR="000348A1" w:rsidRPr="00BA7BBE">
        <w:rPr>
          <w:color w:val="000000" w:themeColor="text1"/>
          <w:lang w:val="en-US"/>
        </w:rPr>
        <w:t>. Chicago: American College of Surgeons; 2018.</w:t>
      </w:r>
    </w:p>
    <w:p w14:paraId="4A3FE172" w14:textId="77777777" w:rsidR="005C2511" w:rsidRDefault="000816CC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0816CC">
        <w:rPr>
          <w:color w:val="000000" w:themeColor="text1"/>
          <w:lang w:val="en-US"/>
        </w:rPr>
        <w:t xml:space="preserve">Marmo R, </w:t>
      </w:r>
      <w:proofErr w:type="spellStart"/>
      <w:r w:rsidRPr="000816CC">
        <w:rPr>
          <w:color w:val="000000" w:themeColor="text1"/>
          <w:lang w:val="en-US"/>
        </w:rPr>
        <w:t>Rotondano</w:t>
      </w:r>
      <w:proofErr w:type="spellEnd"/>
      <w:r w:rsidRPr="000816CC">
        <w:rPr>
          <w:color w:val="000000" w:themeColor="text1"/>
          <w:lang w:val="en-US"/>
        </w:rPr>
        <w:t xml:space="preserve"> G, Bianco MA, Piscopo R, Prisco A, </w:t>
      </w:r>
      <w:proofErr w:type="spellStart"/>
      <w:r w:rsidRPr="000816CC">
        <w:rPr>
          <w:color w:val="000000" w:themeColor="text1"/>
          <w:lang w:val="en-US"/>
        </w:rPr>
        <w:t>Cipolletta</w:t>
      </w:r>
      <w:proofErr w:type="spellEnd"/>
      <w:r w:rsidRPr="000816CC">
        <w:rPr>
          <w:color w:val="000000" w:themeColor="text1"/>
          <w:lang w:val="en-US"/>
        </w:rPr>
        <w:t xml:space="preserve"> L. Outcome of endoscopic treatment for peptic ulcer bleeding: Is a second look necessary? A meta-analysis. </w:t>
      </w:r>
      <w:proofErr w:type="spellStart"/>
      <w:r w:rsidRPr="000816CC">
        <w:rPr>
          <w:color w:val="000000" w:themeColor="text1"/>
          <w:lang w:val="en-US"/>
        </w:rPr>
        <w:t>Gastrointest</w:t>
      </w:r>
      <w:proofErr w:type="spellEnd"/>
      <w:r w:rsidRPr="000816CC">
        <w:rPr>
          <w:color w:val="000000" w:themeColor="text1"/>
          <w:lang w:val="en-US"/>
        </w:rPr>
        <w:t xml:space="preserve"> </w:t>
      </w:r>
      <w:proofErr w:type="spellStart"/>
      <w:r w:rsidRPr="000816CC">
        <w:rPr>
          <w:color w:val="000000" w:themeColor="text1"/>
          <w:lang w:val="en-US"/>
        </w:rPr>
        <w:t>Endosc</w:t>
      </w:r>
      <w:proofErr w:type="spellEnd"/>
      <w:r w:rsidRPr="000816CC">
        <w:rPr>
          <w:color w:val="000000" w:themeColor="text1"/>
          <w:lang w:val="en-US"/>
        </w:rPr>
        <w:t>. 2003;57(1):62-67. doi:10.1067/mge.2003.48.</w:t>
      </w:r>
    </w:p>
    <w:p w14:paraId="2D27AC41" w14:textId="77777777" w:rsidR="00975A30" w:rsidRPr="00975A30" w:rsidRDefault="005C2511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5C2511">
        <w:rPr>
          <w:color w:val="000000" w:themeColor="text1"/>
          <w:lang w:val="en-US"/>
        </w:rPr>
        <w:t>Tsoi KK, Chiu PW, Sung JJ. Endoscopy for upper gastrointestinal bleeding: is routine second-look necessary? Nat Rev Gastroenterol Hepatol. 2009;6(12):717-722. doi:10.1038/nrgastro.2009.186.</w:t>
      </w:r>
      <w:r w:rsidR="004B5AAF" w:rsidRPr="005C2511">
        <w:rPr>
          <w:color w:val="000000" w:themeColor="text1"/>
        </w:rPr>
        <w:tab/>
      </w:r>
    </w:p>
    <w:p w14:paraId="181F82CD" w14:textId="35D2F9E7" w:rsidR="00975A30" w:rsidRPr="002C7E84" w:rsidRDefault="002C7E8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>
        <w:rPr>
          <w:color w:val="000000" w:themeColor="text1"/>
        </w:rPr>
        <w:t xml:space="preserve">Ивашкин ВТ, Маев ИВ, Царьков ПВ и </w:t>
      </w:r>
      <w:proofErr w:type="spellStart"/>
      <w:r>
        <w:rPr>
          <w:color w:val="000000" w:themeColor="text1"/>
        </w:rPr>
        <w:t>соавт</w:t>
      </w:r>
      <w:proofErr w:type="spellEnd"/>
      <w:r>
        <w:rPr>
          <w:color w:val="000000" w:themeColor="text1"/>
        </w:rPr>
        <w:t xml:space="preserve">. Диагностика и лечение язвенной болезни у взрослых (Клинические рекомендации Российской гастроэнтерологической ассоциации, Российского общества колоректальных хирургов и Российского </w:t>
      </w:r>
      <w:r>
        <w:rPr>
          <w:color w:val="000000" w:themeColor="text1"/>
        </w:rPr>
        <w:lastRenderedPageBreak/>
        <w:t>эндоскопического общества)</w:t>
      </w:r>
      <w:r w:rsidR="004C67E2">
        <w:rPr>
          <w:color w:val="000000" w:themeColor="text1"/>
        </w:rPr>
        <w:t xml:space="preserve"> Российский </w:t>
      </w:r>
      <w:r w:rsidR="00D92AE8">
        <w:rPr>
          <w:color w:val="000000" w:themeColor="text1"/>
        </w:rPr>
        <w:t>ж</w:t>
      </w:r>
      <w:r w:rsidR="004C67E2">
        <w:rPr>
          <w:color w:val="000000" w:themeColor="text1"/>
        </w:rPr>
        <w:t xml:space="preserve">урнал гастроэнтерологии, гепатологии, колопроктологии. 2024; 34 (2): 101-131. </w:t>
      </w:r>
      <w:proofErr w:type="spellStart"/>
      <w:r w:rsidR="004C67E2">
        <w:rPr>
          <w:color w:val="000000" w:themeColor="text1"/>
          <w:lang w:val="en-US"/>
        </w:rPr>
        <w:t>doi</w:t>
      </w:r>
      <w:proofErr w:type="spellEnd"/>
      <w:r w:rsidR="004C67E2">
        <w:rPr>
          <w:color w:val="000000" w:themeColor="text1"/>
          <w:lang w:val="en-US"/>
        </w:rPr>
        <w:t>: 10&amp;22416/1382-4376-2024—34-2-101-131.</w:t>
      </w:r>
    </w:p>
    <w:p w14:paraId="741D3578" w14:textId="77777777" w:rsidR="00975A30" w:rsidRPr="00975A30" w:rsidRDefault="00975A30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975A30">
        <w:rPr>
          <w:color w:val="000000" w:themeColor="text1"/>
          <w:lang w:val="en-US"/>
        </w:rPr>
        <w:t>Tarasconi</w:t>
      </w:r>
      <w:proofErr w:type="spellEnd"/>
      <w:r w:rsidRPr="00975A30">
        <w:rPr>
          <w:color w:val="000000" w:themeColor="text1"/>
          <w:lang w:val="en-US"/>
        </w:rPr>
        <w:t xml:space="preserve"> A, Baiocchi GL, </w:t>
      </w:r>
      <w:proofErr w:type="spellStart"/>
      <w:r w:rsidRPr="00975A30">
        <w:rPr>
          <w:color w:val="000000" w:themeColor="text1"/>
          <w:lang w:val="en-US"/>
        </w:rPr>
        <w:t>Pattonieri</w:t>
      </w:r>
      <w:proofErr w:type="spellEnd"/>
      <w:r w:rsidRPr="00975A30">
        <w:rPr>
          <w:color w:val="000000" w:themeColor="text1"/>
          <w:lang w:val="en-US"/>
        </w:rPr>
        <w:t xml:space="preserve"> V, et al. Transcatheter arterial embolization versus surgery for refractory non-variceal upper gastrointestinal bleeding: a meta-analysis. World J Emerg Surg. </w:t>
      </w:r>
      <w:proofErr w:type="gramStart"/>
      <w:r w:rsidRPr="00975A30">
        <w:rPr>
          <w:color w:val="000000" w:themeColor="text1"/>
          <w:lang w:val="en-US"/>
        </w:rPr>
        <w:t>2019;14:3</w:t>
      </w:r>
      <w:proofErr w:type="gramEnd"/>
      <w:r w:rsidRPr="00975A30">
        <w:rPr>
          <w:color w:val="000000" w:themeColor="text1"/>
          <w:lang w:val="en-US"/>
        </w:rPr>
        <w:t>. Published 2019 Feb 1. doi:10.1186/s13017-019-0223-8</w:t>
      </w:r>
      <w:r w:rsidRPr="009352B1">
        <w:rPr>
          <w:color w:val="000000" w:themeColor="text1"/>
          <w:lang w:val="en-US"/>
        </w:rPr>
        <w:t>.</w:t>
      </w:r>
    </w:p>
    <w:p w14:paraId="110AFC08" w14:textId="77777777" w:rsidR="00975A30" w:rsidRPr="00975A30" w:rsidRDefault="00975A30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975A30">
        <w:rPr>
          <w:color w:val="000000" w:themeColor="text1"/>
          <w:lang w:val="en-US"/>
        </w:rPr>
        <w:t xml:space="preserve">Beggs AD, Dilworth MP, Powell SL, Atherton H, Griffiths EA. A systematic review of </w:t>
      </w:r>
      <w:proofErr w:type="spellStart"/>
      <w:r w:rsidRPr="00975A30">
        <w:rPr>
          <w:color w:val="000000" w:themeColor="text1"/>
          <w:lang w:val="en-US"/>
        </w:rPr>
        <w:t>transarterial</w:t>
      </w:r>
      <w:proofErr w:type="spellEnd"/>
      <w:r w:rsidRPr="00975A30">
        <w:rPr>
          <w:color w:val="000000" w:themeColor="text1"/>
          <w:lang w:val="en-US"/>
        </w:rPr>
        <w:t xml:space="preserve"> embolization versus emergency surgery in treatment of major nonvariceal upper gastrointestinal bleeding. Clin Exp Gastroenterol. </w:t>
      </w:r>
      <w:proofErr w:type="gramStart"/>
      <w:r w:rsidRPr="00975A30">
        <w:rPr>
          <w:color w:val="000000" w:themeColor="text1"/>
          <w:lang w:val="en-US"/>
        </w:rPr>
        <w:t>2014;7:93</w:t>
      </w:r>
      <w:proofErr w:type="gramEnd"/>
      <w:r w:rsidRPr="00975A30">
        <w:rPr>
          <w:color w:val="000000" w:themeColor="text1"/>
          <w:lang w:val="en-US"/>
        </w:rPr>
        <w:t>-104. Published 2014 Apr 16. doi:10.2147/CEG.S56725</w:t>
      </w:r>
      <w:r w:rsidRPr="00975A30">
        <w:rPr>
          <w:color w:val="000000" w:themeColor="text1"/>
        </w:rPr>
        <w:t>.</w:t>
      </w:r>
    </w:p>
    <w:p w14:paraId="202D55C9" w14:textId="77777777" w:rsidR="00B43383" w:rsidRPr="00B43383" w:rsidRDefault="00975A30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975A30">
        <w:rPr>
          <w:color w:val="000000" w:themeColor="text1"/>
          <w:lang w:val="en-US"/>
        </w:rPr>
        <w:t xml:space="preserve">Darmon I, </w:t>
      </w:r>
      <w:proofErr w:type="spellStart"/>
      <w:r w:rsidRPr="00975A30">
        <w:rPr>
          <w:color w:val="000000" w:themeColor="text1"/>
          <w:lang w:val="en-US"/>
        </w:rPr>
        <w:t>Rebibo</w:t>
      </w:r>
      <w:proofErr w:type="spellEnd"/>
      <w:r w:rsidRPr="00975A30">
        <w:rPr>
          <w:color w:val="000000" w:themeColor="text1"/>
          <w:lang w:val="en-US"/>
        </w:rPr>
        <w:t xml:space="preserve"> L, Diouf M, et al. Management of bleeding peptic duodenal ulcer refractory to endoscopic treatment: surgery or transcatheter arterial embolization as first-line therapy? A retrospective single-center study and systematic review. Eur J Trauma Emerg Surg. 2020;46(5):1025-1035. doi:10.1007/s00068-020-01356-7</w:t>
      </w:r>
      <w:r w:rsidRPr="00B554D1">
        <w:rPr>
          <w:color w:val="000000" w:themeColor="text1"/>
          <w:lang w:val="en-US"/>
        </w:rPr>
        <w:t>.</w:t>
      </w:r>
    </w:p>
    <w:p w14:paraId="578C0F75" w14:textId="785AE8C3" w:rsidR="00A94E53" w:rsidRPr="00A94E53" w:rsidRDefault="00A94E53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B554D1">
        <w:rPr>
          <w:color w:val="000000" w:themeColor="text1"/>
          <w:lang w:val="en-US"/>
        </w:rPr>
        <w:t>Loffroy</w:t>
      </w:r>
      <w:proofErr w:type="spellEnd"/>
      <w:r w:rsidRPr="00B554D1">
        <w:rPr>
          <w:color w:val="000000" w:themeColor="text1"/>
          <w:lang w:val="en-US"/>
        </w:rPr>
        <w:t xml:space="preserve"> R, Guillen K, Chevallier O. Re: Systematic Review and Meta-Analysis of Prophylactic </w:t>
      </w:r>
      <w:proofErr w:type="spellStart"/>
      <w:r w:rsidRPr="00B554D1">
        <w:rPr>
          <w:color w:val="000000" w:themeColor="text1"/>
          <w:lang w:val="en-US"/>
        </w:rPr>
        <w:t>Transarterial</w:t>
      </w:r>
      <w:proofErr w:type="spellEnd"/>
      <w:r w:rsidRPr="00B554D1">
        <w:rPr>
          <w:color w:val="000000" w:themeColor="text1"/>
          <w:lang w:val="en-US"/>
        </w:rPr>
        <w:t xml:space="preserve"> Embolization for High-Risk Bleeding Peptic Ulcer Disease. </w:t>
      </w:r>
      <w:r w:rsidRPr="00565D4B">
        <w:rPr>
          <w:color w:val="000000" w:themeColor="text1"/>
        </w:rPr>
        <w:t xml:space="preserve">J </w:t>
      </w:r>
      <w:proofErr w:type="spellStart"/>
      <w:r w:rsidRPr="00565D4B">
        <w:rPr>
          <w:color w:val="000000" w:themeColor="text1"/>
        </w:rPr>
        <w:t>Vasc</w:t>
      </w:r>
      <w:proofErr w:type="spellEnd"/>
      <w:r w:rsidRPr="00565D4B">
        <w:rPr>
          <w:color w:val="000000" w:themeColor="text1"/>
        </w:rPr>
        <w:t xml:space="preserve"> </w:t>
      </w:r>
      <w:proofErr w:type="spellStart"/>
      <w:r w:rsidRPr="00565D4B">
        <w:rPr>
          <w:color w:val="000000" w:themeColor="text1"/>
        </w:rPr>
        <w:t>Interv</w:t>
      </w:r>
      <w:proofErr w:type="spellEnd"/>
      <w:r w:rsidRPr="00565D4B">
        <w:rPr>
          <w:color w:val="000000" w:themeColor="text1"/>
        </w:rPr>
        <w:t xml:space="preserve"> </w:t>
      </w:r>
      <w:proofErr w:type="spellStart"/>
      <w:r w:rsidRPr="00565D4B">
        <w:rPr>
          <w:color w:val="000000" w:themeColor="text1"/>
        </w:rPr>
        <w:t>Radiol</w:t>
      </w:r>
      <w:proofErr w:type="spellEnd"/>
      <w:r w:rsidRPr="00565D4B">
        <w:rPr>
          <w:color w:val="000000" w:themeColor="text1"/>
        </w:rPr>
        <w:t>.</w:t>
      </w:r>
      <w:r w:rsidRPr="00A94E53">
        <w:rPr>
          <w:color w:val="000000" w:themeColor="text1"/>
        </w:rPr>
        <w:t xml:space="preserve"> 2021;32(9):1389–1390. </w:t>
      </w:r>
      <w:proofErr w:type="gramStart"/>
      <w:r w:rsidRPr="00A94E53">
        <w:rPr>
          <w:color w:val="000000" w:themeColor="text1"/>
        </w:rPr>
        <w:t>doi:10.1016/j.jvir</w:t>
      </w:r>
      <w:proofErr w:type="gramEnd"/>
      <w:r w:rsidRPr="00A94E53">
        <w:rPr>
          <w:color w:val="000000" w:themeColor="text1"/>
        </w:rPr>
        <w:t>.2021.04.03</w:t>
      </w:r>
      <w:r>
        <w:rPr>
          <w:color w:val="000000" w:themeColor="text1"/>
        </w:rPr>
        <w:t>1.</w:t>
      </w:r>
    </w:p>
    <w:p w14:paraId="7AAE612A" w14:textId="6BEBFE6A" w:rsidR="001B3743" w:rsidRPr="001B3743" w:rsidRDefault="00B43383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43383">
        <w:rPr>
          <w:color w:val="000000" w:themeColor="text1"/>
          <w:lang w:val="en-US"/>
        </w:rPr>
        <w:t xml:space="preserve">Di Minno MN, Ambrosino P, Di </w:t>
      </w:r>
      <w:proofErr w:type="spellStart"/>
      <w:r w:rsidRPr="00B43383">
        <w:rPr>
          <w:color w:val="000000" w:themeColor="text1"/>
          <w:lang w:val="en-US"/>
        </w:rPr>
        <w:t>Minno</w:t>
      </w:r>
      <w:proofErr w:type="spellEnd"/>
      <w:r w:rsidRPr="00B43383">
        <w:rPr>
          <w:color w:val="000000" w:themeColor="text1"/>
          <w:lang w:val="en-US"/>
        </w:rPr>
        <w:t xml:space="preserve"> A, </w:t>
      </w:r>
      <w:proofErr w:type="spellStart"/>
      <w:r w:rsidRPr="00B43383">
        <w:rPr>
          <w:color w:val="000000" w:themeColor="text1"/>
          <w:lang w:val="en-US"/>
        </w:rPr>
        <w:t>Tremoli</w:t>
      </w:r>
      <w:proofErr w:type="spellEnd"/>
      <w:r w:rsidRPr="00B43383">
        <w:rPr>
          <w:color w:val="000000" w:themeColor="text1"/>
          <w:lang w:val="en-US"/>
        </w:rPr>
        <w:t xml:space="preserve"> E, Di </w:t>
      </w:r>
      <w:proofErr w:type="spellStart"/>
      <w:r w:rsidRPr="00B43383">
        <w:rPr>
          <w:color w:val="000000" w:themeColor="text1"/>
          <w:lang w:val="en-US"/>
        </w:rPr>
        <w:t>Minno</w:t>
      </w:r>
      <w:proofErr w:type="spellEnd"/>
      <w:r w:rsidRPr="00B43383">
        <w:rPr>
          <w:color w:val="000000" w:themeColor="text1"/>
          <w:lang w:val="en-US"/>
        </w:rPr>
        <w:t xml:space="preserve"> G. The risk of gastrointestinal bleeding in patients receiving dabigatran </w:t>
      </w:r>
      <w:proofErr w:type="spellStart"/>
      <w:r w:rsidRPr="00B43383">
        <w:rPr>
          <w:color w:val="000000" w:themeColor="text1"/>
          <w:lang w:val="en-US"/>
        </w:rPr>
        <w:t>etexilate</w:t>
      </w:r>
      <w:proofErr w:type="spellEnd"/>
      <w:r w:rsidRPr="00B43383">
        <w:rPr>
          <w:color w:val="000000" w:themeColor="text1"/>
          <w:lang w:val="en-US"/>
        </w:rPr>
        <w:t>: a systematic review and meta-analysis of the literature. Ann Med. 2017;49(4):329-342. doi:10.1080/07853890.2016.1268710</w:t>
      </w:r>
      <w:r w:rsidRPr="00B43383">
        <w:rPr>
          <w:color w:val="000000" w:themeColor="text1"/>
        </w:rPr>
        <w:t>.</w:t>
      </w:r>
    </w:p>
    <w:p w14:paraId="441B3B3F" w14:textId="63BCC2DD" w:rsidR="001B3743" w:rsidRPr="001B3743" w:rsidRDefault="001B3743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  <w:lang w:val="en-US"/>
        </w:rPr>
        <w:t xml:space="preserve">Chang JHE, Lye TJY, Zhu HZ, et al. Systematic Review and Meta-Analysis of Prophylactic </w:t>
      </w:r>
      <w:proofErr w:type="spellStart"/>
      <w:r w:rsidRPr="00B554D1">
        <w:rPr>
          <w:color w:val="000000" w:themeColor="text1"/>
          <w:lang w:val="en-US"/>
        </w:rPr>
        <w:t>Transarterial</w:t>
      </w:r>
      <w:proofErr w:type="spellEnd"/>
      <w:r w:rsidRPr="00B554D1">
        <w:rPr>
          <w:color w:val="000000" w:themeColor="text1"/>
          <w:lang w:val="en-US"/>
        </w:rPr>
        <w:t xml:space="preserve"> Embolization for High-Risk Bleeding Peptic Ulcer Disease. </w:t>
      </w:r>
      <w:r w:rsidRPr="00D92AE8">
        <w:rPr>
          <w:i/>
          <w:iCs/>
          <w:color w:val="000000" w:themeColor="text1"/>
          <w:lang w:val="en-US"/>
        </w:rPr>
        <w:t xml:space="preserve">J </w:t>
      </w:r>
      <w:proofErr w:type="spellStart"/>
      <w:r w:rsidRPr="00D92AE8">
        <w:rPr>
          <w:i/>
          <w:iCs/>
          <w:color w:val="000000" w:themeColor="text1"/>
          <w:lang w:val="en-US"/>
        </w:rPr>
        <w:t>Vasc</w:t>
      </w:r>
      <w:proofErr w:type="spellEnd"/>
      <w:r w:rsidRPr="00D92AE8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92AE8">
        <w:rPr>
          <w:i/>
          <w:iCs/>
          <w:color w:val="000000" w:themeColor="text1"/>
          <w:lang w:val="en-US"/>
        </w:rPr>
        <w:t>Interv</w:t>
      </w:r>
      <w:proofErr w:type="spellEnd"/>
      <w:r w:rsidRPr="00D92AE8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92AE8">
        <w:rPr>
          <w:i/>
          <w:iCs/>
          <w:color w:val="000000" w:themeColor="text1"/>
          <w:lang w:val="en-US"/>
        </w:rPr>
        <w:t>Radiol</w:t>
      </w:r>
      <w:proofErr w:type="spellEnd"/>
      <w:r w:rsidRPr="00D92AE8">
        <w:rPr>
          <w:color w:val="000000" w:themeColor="text1"/>
          <w:lang w:val="en-US"/>
        </w:rPr>
        <w:t xml:space="preserve">. 2021;32(4):576-584.e5. </w:t>
      </w:r>
      <w:proofErr w:type="gramStart"/>
      <w:r w:rsidRPr="00D92AE8">
        <w:rPr>
          <w:color w:val="000000" w:themeColor="text1"/>
          <w:lang w:val="en-US"/>
        </w:rPr>
        <w:t>doi:10.1016/j.jvir</w:t>
      </w:r>
      <w:proofErr w:type="gramEnd"/>
      <w:r w:rsidRPr="00D92AE8">
        <w:rPr>
          <w:color w:val="000000" w:themeColor="text1"/>
          <w:lang w:val="en-US"/>
        </w:rPr>
        <w:t>.2020.12.005.</w:t>
      </w:r>
      <w:r w:rsidR="000618F2" w:rsidRPr="001B3743">
        <w:rPr>
          <w:color w:val="000000" w:themeColor="text1"/>
          <w:lang w:val="en-US"/>
        </w:rPr>
        <w:t xml:space="preserve">     </w:t>
      </w:r>
    </w:p>
    <w:p w14:paraId="024E36B9" w14:textId="77777777" w:rsidR="00695920" w:rsidRPr="00695920" w:rsidRDefault="001B3743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1B3743">
        <w:rPr>
          <w:color w:val="000000" w:themeColor="text1"/>
          <w:lang w:val="en-US"/>
        </w:rPr>
        <w:t>Boros E, Sipos Z, Hegyi P, et al. Prophylactic transcatheter arterial embolization reduces rebleeding in non-variceal upper gastrointestinal bleeding: A meta-analysis. World J Gastroenterol. 2021;27(40):6985-6999. doi:10.3748/</w:t>
      </w:r>
      <w:proofErr w:type="gramStart"/>
      <w:r w:rsidRPr="001B3743">
        <w:rPr>
          <w:color w:val="000000" w:themeColor="text1"/>
          <w:lang w:val="en-US"/>
        </w:rPr>
        <w:t>wjg.v27.i</w:t>
      </w:r>
      <w:proofErr w:type="gramEnd"/>
      <w:r w:rsidRPr="001B3743">
        <w:rPr>
          <w:color w:val="000000" w:themeColor="text1"/>
          <w:lang w:val="en-US"/>
        </w:rPr>
        <w:t>40.6985</w:t>
      </w:r>
      <w:r w:rsidR="00B14C63" w:rsidRPr="001B3743">
        <w:rPr>
          <w:color w:val="000000" w:themeColor="text1"/>
          <w:lang w:val="en-US"/>
        </w:rPr>
        <w:t>.</w:t>
      </w:r>
    </w:p>
    <w:p w14:paraId="76D58975" w14:textId="77777777" w:rsidR="0096676F" w:rsidRPr="0096676F" w:rsidRDefault="00695920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695920">
        <w:rPr>
          <w:color w:val="000000" w:themeColor="text1"/>
          <w:lang w:val="en-US"/>
        </w:rPr>
        <w:t>Coxib</w:t>
      </w:r>
      <w:proofErr w:type="spellEnd"/>
      <w:r w:rsidRPr="00695920">
        <w:rPr>
          <w:color w:val="000000" w:themeColor="text1"/>
          <w:lang w:val="en-US"/>
        </w:rPr>
        <w:t xml:space="preserve"> and traditional NSAID Trialists' (CNT) Collaboration, </w:t>
      </w:r>
      <w:proofErr w:type="spellStart"/>
      <w:r w:rsidRPr="00695920">
        <w:rPr>
          <w:color w:val="000000" w:themeColor="text1"/>
          <w:lang w:val="en-US"/>
        </w:rPr>
        <w:t>Bhala</w:t>
      </w:r>
      <w:proofErr w:type="spellEnd"/>
      <w:r w:rsidRPr="00695920">
        <w:rPr>
          <w:color w:val="000000" w:themeColor="text1"/>
          <w:lang w:val="en-US"/>
        </w:rPr>
        <w:t xml:space="preserve"> N, Emberson J, et al. Vascular and upper gastrointestinal effects of non-steroidal anti-inflammatory drugs: meta-analyses of individual participant data from </w:t>
      </w:r>
      <w:proofErr w:type="spellStart"/>
      <w:r w:rsidRPr="00695920">
        <w:rPr>
          <w:color w:val="000000" w:themeColor="text1"/>
          <w:lang w:val="en-US"/>
        </w:rPr>
        <w:t>randomised</w:t>
      </w:r>
      <w:proofErr w:type="spellEnd"/>
      <w:r w:rsidRPr="00695920">
        <w:rPr>
          <w:color w:val="000000" w:themeColor="text1"/>
          <w:lang w:val="en-US"/>
        </w:rPr>
        <w:t xml:space="preserve"> trials. Lancet. 2013;382(9894):769-779. doi:10.1016/S0140-6736(13)60900-9</w:t>
      </w:r>
      <w:r w:rsidRPr="009352B1">
        <w:rPr>
          <w:color w:val="000000" w:themeColor="text1"/>
          <w:lang w:val="en-US"/>
        </w:rPr>
        <w:t>.</w:t>
      </w:r>
    </w:p>
    <w:p w14:paraId="7FE6BD75" w14:textId="77777777" w:rsidR="00FF06DB" w:rsidRPr="00FF06DB" w:rsidRDefault="0096676F" w:rsidP="00CA310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96676F">
        <w:rPr>
          <w:color w:val="000000" w:themeColor="text1"/>
          <w:lang w:val="en-US"/>
        </w:rPr>
        <w:t>Castellsague</w:t>
      </w:r>
      <w:proofErr w:type="spellEnd"/>
      <w:r w:rsidRPr="0096676F">
        <w:rPr>
          <w:color w:val="000000" w:themeColor="text1"/>
          <w:lang w:val="en-US"/>
        </w:rPr>
        <w:t xml:space="preserve"> J, Riera-Guardia N, </w:t>
      </w:r>
      <w:proofErr w:type="spellStart"/>
      <w:r w:rsidRPr="0096676F">
        <w:rPr>
          <w:color w:val="000000" w:themeColor="text1"/>
          <w:lang w:val="en-US"/>
        </w:rPr>
        <w:t>Calingaert</w:t>
      </w:r>
      <w:proofErr w:type="spellEnd"/>
      <w:r w:rsidRPr="0096676F">
        <w:rPr>
          <w:color w:val="000000" w:themeColor="text1"/>
          <w:lang w:val="en-US"/>
        </w:rPr>
        <w:t xml:space="preserve"> B, et al. Individual NSAIDs and upper gastrointestinal complications: a systematic review and meta-analysis of observational studies (the SOS project). Drug </w:t>
      </w:r>
      <w:proofErr w:type="spellStart"/>
      <w:r w:rsidRPr="0096676F">
        <w:rPr>
          <w:color w:val="000000" w:themeColor="text1"/>
          <w:lang w:val="en-US"/>
        </w:rPr>
        <w:t>Saf</w:t>
      </w:r>
      <w:proofErr w:type="spellEnd"/>
      <w:r w:rsidRPr="0096676F">
        <w:rPr>
          <w:color w:val="000000" w:themeColor="text1"/>
          <w:lang w:val="en-US"/>
        </w:rPr>
        <w:t>. 2012;35(12):1127-1146. doi:10.2165/11633470-000000000-00000</w:t>
      </w:r>
      <w:r w:rsidRPr="009352B1">
        <w:rPr>
          <w:color w:val="000000" w:themeColor="text1"/>
          <w:lang w:val="en-US"/>
        </w:rPr>
        <w:t>.</w:t>
      </w:r>
      <w:r w:rsidR="0061287D" w:rsidRPr="0096676F">
        <w:rPr>
          <w:color w:val="000000" w:themeColor="text1"/>
          <w:lang w:val="en-US"/>
        </w:rPr>
        <w:t xml:space="preserve"> </w:t>
      </w:r>
    </w:p>
    <w:p w14:paraId="75A73DC2" w14:textId="77777777" w:rsidR="00FF06DB" w:rsidRPr="00FF06DB" w:rsidRDefault="00FF06DB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FF06DB">
        <w:rPr>
          <w:color w:val="000000" w:themeColor="text1"/>
          <w:lang w:val="en-US"/>
        </w:rPr>
        <w:lastRenderedPageBreak/>
        <w:t>Bang CS, Joo MK, Kim BW, et al. The Role of Acid Suppressants in the Prevention of Anticoagulant-Related Gastrointestinal Bleeding: A Systematic Review and Meta-Analysis. Gut Liver. 2020;14(1):57-66. doi:10.5009/gnl19009</w:t>
      </w:r>
      <w:r w:rsidR="0061287D" w:rsidRPr="00FF06DB">
        <w:rPr>
          <w:color w:val="000000" w:themeColor="text1"/>
          <w:lang w:val="en-US"/>
        </w:rPr>
        <w:t>.</w:t>
      </w:r>
    </w:p>
    <w:p w14:paraId="5B014B67" w14:textId="77777777" w:rsidR="00EE31BB" w:rsidRPr="00EE31BB" w:rsidRDefault="00A97EE1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FF06DB">
        <w:rPr>
          <w:color w:val="000000" w:themeColor="text1"/>
        </w:rPr>
        <w:t>Маев</w:t>
      </w:r>
      <w:r w:rsidRPr="00B554D1">
        <w:rPr>
          <w:color w:val="000000" w:themeColor="text1"/>
        </w:rPr>
        <w:t xml:space="preserve"> </w:t>
      </w:r>
      <w:r w:rsidRPr="00FF06DB">
        <w:rPr>
          <w:color w:val="000000" w:themeColor="text1"/>
        </w:rPr>
        <w:t>И</w:t>
      </w:r>
      <w:r w:rsidRPr="00B554D1">
        <w:rPr>
          <w:color w:val="000000" w:themeColor="text1"/>
        </w:rPr>
        <w:t>.</w:t>
      </w:r>
      <w:r w:rsidRPr="00FF06DB">
        <w:rPr>
          <w:color w:val="000000" w:themeColor="text1"/>
        </w:rPr>
        <w:t>В</w:t>
      </w:r>
      <w:r w:rsidRPr="00B554D1">
        <w:rPr>
          <w:color w:val="000000" w:themeColor="text1"/>
        </w:rPr>
        <w:t xml:space="preserve">., </w:t>
      </w:r>
      <w:r w:rsidRPr="00FF06DB">
        <w:rPr>
          <w:color w:val="000000" w:themeColor="text1"/>
        </w:rPr>
        <w:t>Самсонов</w:t>
      </w:r>
      <w:r w:rsidRPr="00B554D1">
        <w:rPr>
          <w:color w:val="000000" w:themeColor="text1"/>
        </w:rPr>
        <w:t xml:space="preserve"> </w:t>
      </w:r>
      <w:r w:rsidRPr="00FF06DB">
        <w:rPr>
          <w:color w:val="000000" w:themeColor="text1"/>
        </w:rPr>
        <w:t>А</w:t>
      </w:r>
      <w:r w:rsidRPr="00B554D1">
        <w:rPr>
          <w:color w:val="000000" w:themeColor="text1"/>
        </w:rPr>
        <w:t>.</w:t>
      </w:r>
      <w:r w:rsidRPr="00FF06DB">
        <w:rPr>
          <w:color w:val="000000" w:themeColor="text1"/>
        </w:rPr>
        <w:t>А</w:t>
      </w:r>
      <w:r w:rsidRPr="00B554D1">
        <w:rPr>
          <w:color w:val="000000" w:themeColor="text1"/>
        </w:rPr>
        <w:t xml:space="preserve">. </w:t>
      </w:r>
      <w:r w:rsidRPr="00FF06DB">
        <w:rPr>
          <w:color w:val="000000" w:themeColor="text1"/>
        </w:rPr>
        <w:t>Язвенная</w:t>
      </w:r>
      <w:r w:rsidRPr="00B554D1">
        <w:rPr>
          <w:color w:val="000000" w:themeColor="text1"/>
        </w:rPr>
        <w:t xml:space="preserve"> </w:t>
      </w:r>
      <w:r w:rsidRPr="00FF06DB">
        <w:rPr>
          <w:color w:val="000000" w:themeColor="text1"/>
        </w:rPr>
        <w:t>болезнь</w:t>
      </w:r>
      <w:r w:rsidRPr="00B554D1">
        <w:rPr>
          <w:color w:val="000000" w:themeColor="text1"/>
        </w:rPr>
        <w:t xml:space="preserve"> </w:t>
      </w:r>
      <w:r w:rsidRPr="00FF06DB">
        <w:rPr>
          <w:color w:val="000000" w:themeColor="text1"/>
        </w:rPr>
        <w:t>двенадцатиперстной</w:t>
      </w:r>
      <w:r w:rsidRPr="00B554D1">
        <w:rPr>
          <w:color w:val="000000" w:themeColor="text1"/>
        </w:rPr>
        <w:t xml:space="preserve"> </w:t>
      </w:r>
      <w:r w:rsidRPr="00FF06DB">
        <w:rPr>
          <w:color w:val="000000" w:themeColor="text1"/>
        </w:rPr>
        <w:t>кишки</w:t>
      </w:r>
      <w:r w:rsidRPr="00B554D1">
        <w:rPr>
          <w:color w:val="000000" w:themeColor="text1"/>
        </w:rPr>
        <w:t xml:space="preserve">: </w:t>
      </w:r>
      <w:r w:rsidR="005B5BCA" w:rsidRPr="00FF06DB">
        <w:rPr>
          <w:color w:val="000000" w:themeColor="text1"/>
        </w:rPr>
        <w:t>Р</w:t>
      </w:r>
      <w:r w:rsidRPr="00FF06DB">
        <w:rPr>
          <w:color w:val="000000" w:themeColor="text1"/>
        </w:rPr>
        <w:t xml:space="preserve">азличные подходы к современной консервативной терапии. </w:t>
      </w:r>
      <w:proofErr w:type="spellStart"/>
      <w:r w:rsidRPr="00FF06DB">
        <w:rPr>
          <w:color w:val="000000" w:themeColor="text1"/>
          <w:lang w:val="en-US"/>
        </w:rPr>
        <w:t>Consilium</w:t>
      </w:r>
      <w:proofErr w:type="spellEnd"/>
      <w:r w:rsidRPr="00FF06DB">
        <w:rPr>
          <w:color w:val="000000" w:themeColor="text1"/>
        </w:rPr>
        <w:t xml:space="preserve"> </w:t>
      </w:r>
      <w:proofErr w:type="spellStart"/>
      <w:r w:rsidRPr="00FF06DB">
        <w:rPr>
          <w:color w:val="000000" w:themeColor="text1"/>
          <w:lang w:val="en-US"/>
        </w:rPr>
        <w:t>medicum</w:t>
      </w:r>
      <w:proofErr w:type="spellEnd"/>
      <w:r w:rsidRPr="00FF06DB">
        <w:rPr>
          <w:color w:val="000000" w:themeColor="text1"/>
        </w:rPr>
        <w:t xml:space="preserve">. 2004; 1: </w:t>
      </w:r>
      <w:r w:rsidR="00FF06DB" w:rsidRPr="00FF06DB">
        <w:rPr>
          <w:color w:val="000000" w:themeColor="text1"/>
        </w:rPr>
        <w:t>6–11</w:t>
      </w:r>
      <w:r w:rsidR="005B5BCA" w:rsidRPr="00FF06DB">
        <w:rPr>
          <w:color w:val="000000" w:themeColor="text1"/>
        </w:rPr>
        <w:t>.</w:t>
      </w:r>
    </w:p>
    <w:p w14:paraId="655EA0F6" w14:textId="77777777" w:rsidR="00104464" w:rsidRPr="00104464" w:rsidRDefault="005B5BCA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EE31BB">
        <w:rPr>
          <w:color w:val="000000" w:themeColor="text1"/>
        </w:rPr>
        <w:t>Бурков С.Г. Заболевания органов пищеварения у беременных. М</w:t>
      </w:r>
      <w:r w:rsidRPr="00EE31BB">
        <w:rPr>
          <w:color w:val="000000" w:themeColor="text1"/>
          <w:lang w:val="en-US"/>
        </w:rPr>
        <w:t>.</w:t>
      </w:r>
      <w:r w:rsidR="00175816">
        <w:rPr>
          <w:color w:val="000000" w:themeColor="text1"/>
        </w:rPr>
        <w:t>:</w:t>
      </w:r>
      <w:r w:rsidRPr="00EE31BB">
        <w:rPr>
          <w:color w:val="000000" w:themeColor="text1"/>
          <w:lang w:val="en-US"/>
        </w:rPr>
        <w:t xml:space="preserve"> </w:t>
      </w:r>
      <w:r w:rsidRPr="00EE31BB">
        <w:rPr>
          <w:color w:val="000000" w:themeColor="text1"/>
        </w:rPr>
        <w:t>КРОН</w:t>
      </w:r>
      <w:r w:rsidRPr="00EE31BB">
        <w:rPr>
          <w:color w:val="000000" w:themeColor="text1"/>
          <w:lang w:val="en-US"/>
        </w:rPr>
        <w:t>-</w:t>
      </w:r>
      <w:r w:rsidRPr="00EE31BB">
        <w:rPr>
          <w:color w:val="000000" w:themeColor="text1"/>
        </w:rPr>
        <w:t>ПРЕСС</w:t>
      </w:r>
      <w:r w:rsidRPr="00EE31BB">
        <w:rPr>
          <w:color w:val="000000" w:themeColor="text1"/>
          <w:lang w:val="en-US"/>
        </w:rPr>
        <w:t>,</w:t>
      </w:r>
      <w:r w:rsidR="00EE31BB">
        <w:rPr>
          <w:color w:val="000000" w:themeColor="text1"/>
        </w:rPr>
        <w:t xml:space="preserve"> </w:t>
      </w:r>
      <w:r w:rsidRPr="00EE31BB">
        <w:rPr>
          <w:color w:val="000000" w:themeColor="text1"/>
          <w:lang w:val="en-US"/>
        </w:rPr>
        <w:t>1996</w:t>
      </w:r>
      <w:r w:rsidR="00175816">
        <w:rPr>
          <w:color w:val="000000" w:themeColor="text1"/>
        </w:rPr>
        <w:t>. -</w:t>
      </w:r>
      <w:r w:rsidRPr="00EE31BB">
        <w:rPr>
          <w:color w:val="000000" w:themeColor="text1"/>
          <w:lang w:val="en-US"/>
        </w:rPr>
        <w:t xml:space="preserve"> 217 </w:t>
      </w:r>
      <w:r w:rsidRPr="00EE31BB">
        <w:rPr>
          <w:color w:val="000000" w:themeColor="text1"/>
        </w:rPr>
        <w:t>с</w:t>
      </w:r>
      <w:r w:rsidRPr="00EE31BB">
        <w:rPr>
          <w:color w:val="000000" w:themeColor="text1"/>
          <w:lang w:val="en-US"/>
        </w:rPr>
        <w:t>.</w:t>
      </w:r>
    </w:p>
    <w:p w14:paraId="0B4D8814" w14:textId="77777777" w:rsidR="00700BE1" w:rsidRPr="00700BE1" w:rsidRDefault="00104464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104464">
        <w:rPr>
          <w:color w:val="000000" w:themeColor="text1"/>
          <w:lang w:val="en-US"/>
        </w:rPr>
        <w:t>Cappell MS. The fetal safety and clinical efficacy of gastrointestinal endoscopy during pregnancy. Gastroenterol Clin North Am. 2003;32(1):123-179. doi:10.1016/s0889-8553(02)00137-1</w:t>
      </w:r>
      <w:r w:rsidRPr="00104464">
        <w:rPr>
          <w:color w:val="000000" w:themeColor="text1"/>
        </w:rPr>
        <w:t>.</w:t>
      </w:r>
    </w:p>
    <w:p w14:paraId="0A6AC418" w14:textId="77777777" w:rsidR="005658C1" w:rsidRPr="005658C1" w:rsidRDefault="00C95D00" w:rsidP="005658C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700BE1">
        <w:rPr>
          <w:color w:val="000000" w:themeColor="text1"/>
        </w:rPr>
        <w:t>Евсеев</w:t>
      </w:r>
      <w:r w:rsidRPr="00B554D1">
        <w:rPr>
          <w:color w:val="000000" w:themeColor="text1"/>
        </w:rPr>
        <w:t xml:space="preserve"> </w:t>
      </w:r>
      <w:r w:rsidRPr="00700BE1">
        <w:rPr>
          <w:color w:val="000000" w:themeColor="text1"/>
        </w:rPr>
        <w:t>М</w:t>
      </w:r>
      <w:r w:rsidRPr="00B554D1">
        <w:rPr>
          <w:color w:val="000000" w:themeColor="text1"/>
        </w:rPr>
        <w:t>.</w:t>
      </w:r>
      <w:r w:rsidRPr="00700BE1">
        <w:rPr>
          <w:color w:val="000000" w:themeColor="text1"/>
        </w:rPr>
        <w:t>А</w:t>
      </w:r>
      <w:r w:rsidRPr="00B554D1">
        <w:rPr>
          <w:color w:val="000000" w:themeColor="text1"/>
        </w:rPr>
        <w:t xml:space="preserve">., </w:t>
      </w:r>
      <w:r w:rsidRPr="00700BE1">
        <w:rPr>
          <w:color w:val="000000" w:themeColor="text1"/>
        </w:rPr>
        <w:t>Клишин</w:t>
      </w:r>
      <w:r w:rsidRPr="00B554D1">
        <w:rPr>
          <w:color w:val="000000" w:themeColor="text1"/>
        </w:rPr>
        <w:t xml:space="preserve"> </w:t>
      </w:r>
      <w:r w:rsidRPr="00700BE1">
        <w:rPr>
          <w:color w:val="000000" w:themeColor="text1"/>
        </w:rPr>
        <w:t>И</w:t>
      </w:r>
      <w:r w:rsidRPr="00B554D1">
        <w:rPr>
          <w:color w:val="000000" w:themeColor="text1"/>
        </w:rPr>
        <w:t>.</w:t>
      </w:r>
      <w:r w:rsidRPr="00700BE1">
        <w:rPr>
          <w:color w:val="000000" w:themeColor="text1"/>
        </w:rPr>
        <w:t>М</w:t>
      </w:r>
      <w:r w:rsidRPr="00B554D1">
        <w:rPr>
          <w:color w:val="000000" w:themeColor="text1"/>
        </w:rPr>
        <w:t xml:space="preserve">. </w:t>
      </w:r>
      <w:r w:rsidRPr="00700BE1">
        <w:rPr>
          <w:color w:val="000000" w:themeColor="text1"/>
        </w:rPr>
        <w:t>Эффективность</w:t>
      </w:r>
      <w:r w:rsidRPr="00B554D1">
        <w:rPr>
          <w:color w:val="000000" w:themeColor="text1"/>
        </w:rPr>
        <w:t xml:space="preserve"> </w:t>
      </w:r>
      <w:proofErr w:type="spellStart"/>
      <w:r w:rsidRPr="00700BE1">
        <w:rPr>
          <w:color w:val="000000" w:themeColor="text1"/>
        </w:rPr>
        <w:t>антисекреторной</w:t>
      </w:r>
      <w:proofErr w:type="spellEnd"/>
      <w:r w:rsidRPr="00B554D1">
        <w:rPr>
          <w:color w:val="000000" w:themeColor="text1"/>
        </w:rPr>
        <w:t xml:space="preserve"> </w:t>
      </w:r>
      <w:r w:rsidRPr="00700BE1">
        <w:rPr>
          <w:color w:val="000000" w:themeColor="text1"/>
        </w:rPr>
        <w:t>терапии</w:t>
      </w:r>
      <w:r w:rsidRPr="00B554D1">
        <w:rPr>
          <w:color w:val="000000" w:themeColor="text1"/>
        </w:rPr>
        <w:t xml:space="preserve"> </w:t>
      </w:r>
      <w:r w:rsidRPr="00700BE1">
        <w:rPr>
          <w:color w:val="000000" w:themeColor="text1"/>
        </w:rPr>
        <w:t xml:space="preserve">ингибиторами протонной помпы при </w:t>
      </w:r>
      <w:proofErr w:type="spellStart"/>
      <w:r w:rsidRPr="00700BE1">
        <w:rPr>
          <w:color w:val="000000" w:themeColor="text1"/>
        </w:rPr>
        <w:t>гастродуоденальных</w:t>
      </w:r>
      <w:proofErr w:type="spellEnd"/>
      <w:r w:rsidRPr="00700BE1">
        <w:rPr>
          <w:color w:val="000000" w:themeColor="text1"/>
        </w:rPr>
        <w:t xml:space="preserve"> язвенных кровотечениях. </w:t>
      </w:r>
      <w:r w:rsidR="00700BE1" w:rsidRPr="00700BE1">
        <w:rPr>
          <w:color w:val="000000" w:themeColor="text1"/>
        </w:rPr>
        <w:t>Российский журнал гастроэнтерологии, гепатологии, колопроктологии</w:t>
      </w:r>
      <w:r w:rsidR="00700BE1">
        <w:rPr>
          <w:color w:val="000000" w:themeColor="text1"/>
        </w:rPr>
        <w:t>.</w:t>
      </w:r>
      <w:r w:rsidRPr="00700BE1">
        <w:rPr>
          <w:color w:val="000000" w:themeColor="text1"/>
        </w:rPr>
        <w:t xml:space="preserve"> 2010; 20 (3): </w:t>
      </w:r>
      <w:r w:rsidR="00700BE1" w:rsidRPr="00700BE1">
        <w:rPr>
          <w:color w:val="000000" w:themeColor="text1"/>
        </w:rPr>
        <w:t>55–62</w:t>
      </w:r>
      <w:r w:rsidRPr="00700BE1">
        <w:rPr>
          <w:color w:val="000000" w:themeColor="text1"/>
        </w:rPr>
        <w:t xml:space="preserve">. </w:t>
      </w:r>
    </w:p>
    <w:p w14:paraId="62E867DA" w14:textId="77777777" w:rsidR="005658C1" w:rsidRPr="005658C1" w:rsidRDefault="004A58E2" w:rsidP="008156B7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5658C1">
        <w:rPr>
          <w:color w:val="000000" w:themeColor="text1"/>
        </w:rPr>
        <w:t>Клинические рекомендации «Прободная язва»</w:t>
      </w:r>
      <w:r w:rsidR="005658C1">
        <w:rPr>
          <w:color w:val="000000" w:themeColor="text1"/>
        </w:rPr>
        <w:t>.</w:t>
      </w:r>
      <w:r w:rsidRPr="005658C1">
        <w:rPr>
          <w:color w:val="000000" w:themeColor="text1"/>
        </w:rPr>
        <w:t xml:space="preserve">  ООО «Российское общество хирургов</w:t>
      </w:r>
      <w:r w:rsidR="005658C1">
        <w:rPr>
          <w:color w:val="000000" w:themeColor="text1"/>
        </w:rPr>
        <w:t>»</w:t>
      </w:r>
      <w:r w:rsidRPr="005658C1">
        <w:rPr>
          <w:color w:val="000000" w:themeColor="text1"/>
        </w:rPr>
        <w:t>, утвержденные Минздравом России. Рубрикатор клинических      рекомендаций Минздрава РФ, 2021 г.</w:t>
      </w:r>
    </w:p>
    <w:p w14:paraId="64C70EDB" w14:textId="77777777" w:rsidR="00693ED9" w:rsidRPr="00693ED9" w:rsidRDefault="005658C1" w:rsidP="00693ED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5658C1">
        <w:rPr>
          <w:color w:val="000000" w:themeColor="text1"/>
          <w:lang w:val="en-US" w:bidi="en-US"/>
        </w:rPr>
        <w:t>Lanas A, Chan FKL. Peptic ulcer disease. Lancet. 2017;390(10094):613-624. doi:10.1016/S0140-6736(16)32404-7</w:t>
      </w:r>
      <w:r w:rsidRPr="005658C1">
        <w:rPr>
          <w:color w:val="000000" w:themeColor="text1"/>
          <w:lang w:bidi="en-US"/>
        </w:rPr>
        <w:t>.</w:t>
      </w:r>
    </w:p>
    <w:p w14:paraId="4CCA85AA" w14:textId="77777777" w:rsidR="00693ED9" w:rsidRPr="00693ED9" w:rsidRDefault="00693ED9" w:rsidP="00693ED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693ED9">
        <w:rPr>
          <w:color w:val="000000" w:themeColor="text1"/>
          <w:szCs w:val="24"/>
          <w:lang w:val="en-US" w:bidi="en-US"/>
        </w:rPr>
        <w:t>Søreide K, Thorsen K, Harrison EM, et al. Perforated peptic ulcer. Lancet. 2015;386(10000):1288-1298. doi:10.1016/S0140-6736(15)00276-7</w:t>
      </w:r>
      <w:r w:rsidRPr="00B554D1">
        <w:rPr>
          <w:color w:val="000000" w:themeColor="text1"/>
          <w:szCs w:val="24"/>
          <w:lang w:val="en-US" w:bidi="en-US"/>
        </w:rPr>
        <w:t>.</w:t>
      </w:r>
    </w:p>
    <w:p w14:paraId="1777D6C9" w14:textId="689B1F84" w:rsidR="002927FC" w:rsidRPr="002927FC" w:rsidRDefault="00212E30" w:rsidP="002927F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693ED9">
        <w:rPr>
          <w:color w:val="000000" w:themeColor="text1"/>
          <w:szCs w:val="24"/>
        </w:rPr>
        <w:t>Тимербулатов</w:t>
      </w:r>
      <w:proofErr w:type="spellEnd"/>
      <w:r w:rsidRPr="00B554D1">
        <w:rPr>
          <w:color w:val="000000" w:themeColor="text1"/>
          <w:szCs w:val="24"/>
        </w:rPr>
        <w:t xml:space="preserve"> </w:t>
      </w:r>
      <w:r w:rsidRPr="00693ED9">
        <w:rPr>
          <w:color w:val="000000" w:themeColor="text1"/>
          <w:szCs w:val="24"/>
        </w:rPr>
        <w:t>В</w:t>
      </w:r>
      <w:r w:rsidRPr="00B554D1">
        <w:rPr>
          <w:color w:val="000000" w:themeColor="text1"/>
          <w:szCs w:val="24"/>
        </w:rPr>
        <w:t>.</w:t>
      </w:r>
      <w:r w:rsidRPr="00693ED9">
        <w:rPr>
          <w:color w:val="000000" w:themeColor="text1"/>
          <w:szCs w:val="24"/>
        </w:rPr>
        <w:t>М</w:t>
      </w:r>
      <w:r w:rsidRPr="00B554D1">
        <w:rPr>
          <w:color w:val="000000" w:themeColor="text1"/>
          <w:szCs w:val="24"/>
        </w:rPr>
        <w:t xml:space="preserve">., </w:t>
      </w:r>
      <w:proofErr w:type="spellStart"/>
      <w:r w:rsidRPr="00693ED9">
        <w:rPr>
          <w:color w:val="000000" w:themeColor="text1"/>
          <w:szCs w:val="24"/>
        </w:rPr>
        <w:t>Кунафин</w:t>
      </w:r>
      <w:proofErr w:type="spellEnd"/>
      <w:r w:rsidRPr="00B554D1">
        <w:rPr>
          <w:color w:val="000000" w:themeColor="text1"/>
          <w:szCs w:val="24"/>
        </w:rPr>
        <w:t xml:space="preserve"> </w:t>
      </w:r>
      <w:r w:rsidRPr="00693ED9">
        <w:rPr>
          <w:color w:val="000000" w:themeColor="text1"/>
          <w:szCs w:val="24"/>
        </w:rPr>
        <w:t>М</w:t>
      </w:r>
      <w:r w:rsidRPr="00B554D1">
        <w:rPr>
          <w:color w:val="000000" w:themeColor="text1"/>
          <w:szCs w:val="24"/>
        </w:rPr>
        <w:t>.</w:t>
      </w:r>
      <w:r w:rsidRPr="00693ED9">
        <w:rPr>
          <w:color w:val="000000" w:themeColor="text1"/>
          <w:szCs w:val="24"/>
        </w:rPr>
        <w:t>С</w:t>
      </w:r>
      <w:r w:rsidRPr="00B554D1">
        <w:rPr>
          <w:color w:val="000000" w:themeColor="text1"/>
          <w:szCs w:val="24"/>
        </w:rPr>
        <w:t xml:space="preserve">., </w:t>
      </w:r>
      <w:proofErr w:type="spellStart"/>
      <w:r w:rsidRPr="00693ED9">
        <w:rPr>
          <w:color w:val="000000" w:themeColor="text1"/>
          <w:szCs w:val="24"/>
        </w:rPr>
        <w:t>Тимербулатов</w:t>
      </w:r>
      <w:proofErr w:type="spellEnd"/>
      <w:r w:rsidRPr="00B554D1">
        <w:rPr>
          <w:color w:val="000000" w:themeColor="text1"/>
          <w:szCs w:val="24"/>
        </w:rPr>
        <w:t xml:space="preserve"> </w:t>
      </w:r>
      <w:r w:rsidRPr="00693ED9">
        <w:rPr>
          <w:color w:val="000000" w:themeColor="text1"/>
          <w:szCs w:val="24"/>
        </w:rPr>
        <w:t>М</w:t>
      </w:r>
      <w:r w:rsidRPr="00B554D1">
        <w:rPr>
          <w:color w:val="000000" w:themeColor="text1"/>
          <w:szCs w:val="24"/>
        </w:rPr>
        <w:t>.</w:t>
      </w:r>
      <w:r w:rsidRPr="00693ED9">
        <w:rPr>
          <w:color w:val="000000" w:themeColor="text1"/>
          <w:szCs w:val="24"/>
        </w:rPr>
        <w:t>В</w:t>
      </w:r>
      <w:r w:rsidRPr="00B554D1">
        <w:rPr>
          <w:color w:val="000000" w:themeColor="text1"/>
          <w:szCs w:val="24"/>
        </w:rPr>
        <w:t xml:space="preserve">. </w:t>
      </w:r>
      <w:r w:rsidRPr="00693ED9">
        <w:rPr>
          <w:color w:val="000000" w:themeColor="text1"/>
          <w:szCs w:val="24"/>
        </w:rPr>
        <w:t>Экстренная</w:t>
      </w:r>
      <w:r w:rsidR="00693ED9">
        <w:rPr>
          <w:color w:val="000000" w:themeColor="text1"/>
          <w:szCs w:val="24"/>
        </w:rPr>
        <w:t xml:space="preserve"> </w:t>
      </w:r>
      <w:r w:rsidRPr="00693ED9">
        <w:rPr>
          <w:color w:val="000000" w:themeColor="text1"/>
          <w:szCs w:val="24"/>
        </w:rPr>
        <w:t>абдоминальная хирургия в регионе Российской Федерации: анализ за 40 лет.</w:t>
      </w:r>
      <w:r w:rsidR="00693ED9">
        <w:rPr>
          <w:color w:val="000000" w:themeColor="text1"/>
          <w:szCs w:val="24"/>
        </w:rPr>
        <w:t xml:space="preserve"> </w:t>
      </w:r>
      <w:r w:rsidRPr="00693ED9">
        <w:rPr>
          <w:color w:val="000000" w:themeColor="text1"/>
          <w:szCs w:val="24"/>
        </w:rPr>
        <w:t xml:space="preserve">Вестник хирургии им. </w:t>
      </w:r>
      <w:proofErr w:type="spellStart"/>
      <w:r w:rsidRPr="00693ED9">
        <w:rPr>
          <w:color w:val="000000" w:themeColor="text1"/>
          <w:szCs w:val="24"/>
        </w:rPr>
        <w:t>И.И.Грекова</w:t>
      </w:r>
      <w:proofErr w:type="spellEnd"/>
      <w:r w:rsidR="00693ED9">
        <w:rPr>
          <w:color w:val="000000" w:themeColor="text1"/>
          <w:szCs w:val="24"/>
        </w:rPr>
        <w:t>.</w:t>
      </w:r>
      <w:r w:rsidRPr="00693ED9">
        <w:rPr>
          <w:color w:val="000000" w:themeColor="text1"/>
          <w:szCs w:val="24"/>
        </w:rPr>
        <w:t xml:space="preserve"> 2014</w:t>
      </w:r>
      <w:r w:rsidR="00693ED9">
        <w:rPr>
          <w:color w:val="000000" w:themeColor="text1"/>
          <w:szCs w:val="24"/>
        </w:rPr>
        <w:t>;</w:t>
      </w:r>
      <w:r w:rsidRPr="00693ED9">
        <w:rPr>
          <w:color w:val="000000" w:themeColor="text1"/>
          <w:szCs w:val="24"/>
        </w:rPr>
        <w:t xml:space="preserve"> </w:t>
      </w:r>
      <w:r w:rsidR="00693ED9">
        <w:rPr>
          <w:color w:val="000000" w:themeColor="text1"/>
          <w:szCs w:val="24"/>
        </w:rPr>
        <w:t xml:space="preserve">6: </w:t>
      </w:r>
      <w:r w:rsidR="002927FC" w:rsidRPr="00693ED9">
        <w:rPr>
          <w:color w:val="000000" w:themeColor="text1"/>
          <w:szCs w:val="24"/>
        </w:rPr>
        <w:t>89–92</w:t>
      </w:r>
      <w:r w:rsidR="00693ED9">
        <w:rPr>
          <w:color w:val="000000" w:themeColor="text1"/>
          <w:szCs w:val="24"/>
        </w:rPr>
        <w:t>.</w:t>
      </w:r>
    </w:p>
    <w:p w14:paraId="79C63254" w14:textId="20B58602" w:rsidR="002F73AB" w:rsidRPr="00B554D1" w:rsidRDefault="00212E30" w:rsidP="002F73A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2927FC">
        <w:rPr>
          <w:color w:val="000000" w:themeColor="text1"/>
          <w:szCs w:val="24"/>
        </w:rPr>
        <w:t>Ревишвили А.Ш., Оловянный В.Е., Сажин В.П., Нечаев О.И., Захарова М.А</w:t>
      </w:r>
      <w:r w:rsidR="00753819" w:rsidRPr="002927FC">
        <w:rPr>
          <w:color w:val="000000" w:themeColor="text1"/>
          <w:szCs w:val="24"/>
        </w:rPr>
        <w:t>.</w:t>
      </w:r>
      <w:proofErr w:type="gramStart"/>
      <w:r w:rsidR="00753819" w:rsidRPr="002927FC">
        <w:rPr>
          <w:color w:val="000000" w:themeColor="text1"/>
          <w:szCs w:val="24"/>
        </w:rPr>
        <w:t xml:space="preserve">, </w:t>
      </w:r>
      <w:r w:rsidR="00B77F0D" w:rsidRPr="002927FC">
        <w:rPr>
          <w:color w:val="000000" w:themeColor="text1"/>
          <w:szCs w:val="24"/>
        </w:rPr>
        <w:t xml:space="preserve"> </w:t>
      </w:r>
      <w:proofErr w:type="spellStart"/>
      <w:r w:rsidRPr="002927FC">
        <w:rPr>
          <w:color w:val="000000" w:themeColor="text1"/>
          <w:szCs w:val="24"/>
        </w:rPr>
        <w:t>Шелина</w:t>
      </w:r>
      <w:proofErr w:type="spellEnd"/>
      <w:proofErr w:type="gramEnd"/>
      <w:r w:rsidRPr="002927FC">
        <w:rPr>
          <w:color w:val="000000" w:themeColor="text1"/>
          <w:szCs w:val="24"/>
        </w:rPr>
        <w:t xml:space="preserve"> Н.В., Миронова Н.Л. Хирургическая помощь в Российской Федерации. - </w:t>
      </w:r>
      <w:r w:rsidR="00B77F0D" w:rsidRPr="002927FC">
        <w:rPr>
          <w:color w:val="000000" w:themeColor="text1"/>
          <w:szCs w:val="24"/>
        </w:rPr>
        <w:t xml:space="preserve"> </w:t>
      </w:r>
      <w:r w:rsidRPr="002927FC">
        <w:rPr>
          <w:color w:val="000000" w:themeColor="text1"/>
          <w:szCs w:val="24"/>
        </w:rPr>
        <w:t>М., 2019</w:t>
      </w:r>
      <w:r w:rsidR="002F73AB">
        <w:rPr>
          <w:color w:val="000000" w:themeColor="text1"/>
          <w:szCs w:val="24"/>
        </w:rPr>
        <w:t>. -</w:t>
      </w:r>
      <w:r w:rsidRPr="002927FC">
        <w:rPr>
          <w:color w:val="000000" w:themeColor="text1"/>
          <w:szCs w:val="24"/>
        </w:rPr>
        <w:t xml:space="preserve"> 136 с. </w:t>
      </w:r>
      <w:r w:rsidRPr="002927FC">
        <w:rPr>
          <w:color w:val="000000" w:themeColor="text1"/>
          <w:szCs w:val="24"/>
          <w:lang w:val="en-US" w:bidi="en-US"/>
        </w:rPr>
        <w:t>ISBN</w:t>
      </w:r>
      <w:r w:rsidRPr="002927FC">
        <w:rPr>
          <w:color w:val="000000" w:themeColor="text1"/>
          <w:szCs w:val="24"/>
          <w:lang w:bidi="en-US"/>
        </w:rPr>
        <w:t xml:space="preserve"> </w:t>
      </w:r>
      <w:r w:rsidRPr="002927FC">
        <w:rPr>
          <w:color w:val="000000" w:themeColor="text1"/>
          <w:szCs w:val="24"/>
        </w:rPr>
        <w:t>978</w:t>
      </w:r>
      <w:r w:rsidRPr="002927FC">
        <w:rPr>
          <w:color w:val="000000" w:themeColor="text1"/>
          <w:szCs w:val="24"/>
        </w:rPr>
        <w:softHyphen/>
        <w:t>5-6043874-0-5.</w:t>
      </w:r>
    </w:p>
    <w:p w14:paraId="15508D40" w14:textId="77777777" w:rsidR="002F73AB" w:rsidRPr="002F73AB" w:rsidRDefault="00212E30" w:rsidP="002F73A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2F73AB">
        <w:rPr>
          <w:color w:val="000000" w:themeColor="text1"/>
          <w:szCs w:val="24"/>
        </w:rPr>
        <w:t>Неотложная абдоминальная хирургия. Методическое руководство для практикующего врача. / Под редакцией акад. РАН Затевахина И.И., акад. РАН Кириенко А.И., член- корр. РАН Сажина А.В. - Москва: ООО «Медицинское информационное агентство», 2018. - 488с.</w:t>
      </w:r>
      <w:r w:rsidR="002F73AB">
        <w:rPr>
          <w:color w:val="000000" w:themeColor="text1"/>
          <w:szCs w:val="24"/>
        </w:rPr>
        <w:t xml:space="preserve"> </w:t>
      </w:r>
      <w:r w:rsidRPr="002F73AB">
        <w:rPr>
          <w:color w:val="000000" w:themeColor="text1"/>
          <w:szCs w:val="24"/>
          <w:lang w:val="en-US" w:bidi="en-US"/>
        </w:rPr>
        <w:t>ISBN</w:t>
      </w:r>
      <w:r w:rsidRPr="002F73AB">
        <w:rPr>
          <w:color w:val="000000" w:themeColor="text1"/>
          <w:szCs w:val="24"/>
          <w:lang w:bidi="en-US"/>
        </w:rPr>
        <w:t xml:space="preserve"> </w:t>
      </w:r>
      <w:r w:rsidRPr="002F73AB">
        <w:rPr>
          <w:color w:val="000000" w:themeColor="text1"/>
          <w:szCs w:val="24"/>
        </w:rPr>
        <w:t>978-5-6040008-5-4.</w:t>
      </w:r>
    </w:p>
    <w:p w14:paraId="730B8B54" w14:textId="0CDF68EC" w:rsidR="002F73AB" w:rsidRPr="002F73AB" w:rsidRDefault="00212E30" w:rsidP="002F73A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2F73AB">
        <w:rPr>
          <w:color w:val="000000" w:themeColor="text1"/>
          <w:szCs w:val="24"/>
        </w:rPr>
        <w:t>Лобанков</w:t>
      </w:r>
      <w:proofErr w:type="spellEnd"/>
      <w:r w:rsidRPr="002F73AB">
        <w:rPr>
          <w:color w:val="000000" w:themeColor="text1"/>
          <w:szCs w:val="24"/>
        </w:rPr>
        <w:t xml:space="preserve"> В.М. «Хирургическая эпидемиология» язвенной болезни в Беларуси в </w:t>
      </w:r>
      <w:r w:rsidR="00F23E50" w:rsidRPr="002F73AB">
        <w:rPr>
          <w:color w:val="000000" w:themeColor="text1"/>
          <w:szCs w:val="24"/>
        </w:rPr>
        <w:t xml:space="preserve">  </w:t>
      </w:r>
      <w:r w:rsidRPr="002F73AB">
        <w:rPr>
          <w:color w:val="000000" w:themeColor="text1"/>
          <w:szCs w:val="24"/>
        </w:rPr>
        <w:t>период с 1990 по 2004 год // Вестник хирургической гастроэнтерологии. 2007</w:t>
      </w:r>
      <w:r w:rsidR="002F73AB">
        <w:rPr>
          <w:color w:val="000000" w:themeColor="text1"/>
          <w:szCs w:val="24"/>
        </w:rPr>
        <w:t>;</w:t>
      </w:r>
      <w:r w:rsidR="00753819" w:rsidRPr="002F73AB">
        <w:rPr>
          <w:color w:val="000000" w:themeColor="text1"/>
          <w:szCs w:val="24"/>
        </w:rPr>
        <w:t xml:space="preserve"> </w:t>
      </w:r>
      <w:r w:rsidR="002F73AB">
        <w:rPr>
          <w:color w:val="000000" w:themeColor="text1"/>
          <w:szCs w:val="24"/>
        </w:rPr>
        <w:t xml:space="preserve">1: </w:t>
      </w:r>
      <w:r w:rsidR="002F73AB" w:rsidRPr="002F73AB">
        <w:rPr>
          <w:color w:val="000000" w:themeColor="text1"/>
          <w:szCs w:val="24"/>
        </w:rPr>
        <w:t>50–55</w:t>
      </w:r>
      <w:r w:rsidR="00F23E50" w:rsidRPr="002F73AB">
        <w:rPr>
          <w:color w:val="000000" w:themeColor="text1"/>
          <w:szCs w:val="24"/>
        </w:rPr>
        <w:t>.</w:t>
      </w:r>
    </w:p>
    <w:p w14:paraId="69C06D0C" w14:textId="77777777" w:rsidR="0086584F" w:rsidRPr="0086584F" w:rsidRDefault="00212E30" w:rsidP="0086584F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2F73AB">
        <w:rPr>
          <w:color w:val="000000" w:themeColor="text1"/>
          <w:szCs w:val="24"/>
        </w:rPr>
        <w:t>Савельев В.С. Руководство по неотложной хирургии органов брюшной полости. М.</w:t>
      </w:r>
      <w:r w:rsidR="002F73AB">
        <w:rPr>
          <w:color w:val="000000" w:themeColor="text1"/>
          <w:szCs w:val="24"/>
        </w:rPr>
        <w:t>:</w:t>
      </w:r>
      <w:r w:rsidRPr="002F73AB">
        <w:rPr>
          <w:color w:val="000000" w:themeColor="text1"/>
          <w:szCs w:val="24"/>
        </w:rPr>
        <w:t xml:space="preserve"> Издательство «</w:t>
      </w:r>
      <w:proofErr w:type="spellStart"/>
      <w:r w:rsidRPr="002F73AB">
        <w:rPr>
          <w:color w:val="000000" w:themeColor="text1"/>
          <w:szCs w:val="24"/>
        </w:rPr>
        <w:t>ТриадаХ</w:t>
      </w:r>
      <w:proofErr w:type="spellEnd"/>
      <w:r w:rsidRPr="002F73AB">
        <w:rPr>
          <w:color w:val="000000" w:themeColor="text1"/>
          <w:szCs w:val="24"/>
        </w:rPr>
        <w:t xml:space="preserve">», 2005. </w:t>
      </w:r>
      <w:r w:rsidR="002F73AB">
        <w:rPr>
          <w:color w:val="000000" w:themeColor="text1"/>
          <w:szCs w:val="24"/>
        </w:rPr>
        <w:t>–</w:t>
      </w:r>
      <w:r w:rsidRPr="002F73AB">
        <w:rPr>
          <w:color w:val="000000" w:themeColor="text1"/>
          <w:szCs w:val="24"/>
        </w:rPr>
        <w:t xml:space="preserve"> 640</w:t>
      </w:r>
      <w:r w:rsidR="002F73AB">
        <w:rPr>
          <w:color w:val="000000" w:themeColor="text1"/>
          <w:szCs w:val="24"/>
        </w:rPr>
        <w:t>с</w:t>
      </w:r>
      <w:r w:rsidRPr="002F73AB">
        <w:rPr>
          <w:color w:val="000000" w:themeColor="text1"/>
          <w:szCs w:val="24"/>
        </w:rPr>
        <w:t>.</w:t>
      </w:r>
    </w:p>
    <w:p w14:paraId="7DFEF9E0" w14:textId="77777777" w:rsidR="0037456C" w:rsidRPr="0037456C" w:rsidRDefault="00212E30" w:rsidP="0037456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86584F">
        <w:rPr>
          <w:color w:val="000000" w:themeColor="text1"/>
          <w:szCs w:val="24"/>
        </w:rPr>
        <w:lastRenderedPageBreak/>
        <w:t>Панцырев Ю. М., Михалев А. И., Федоров Е. Д. Хирургическое лечени</w:t>
      </w:r>
      <w:r w:rsidR="00753819" w:rsidRPr="0086584F">
        <w:rPr>
          <w:color w:val="000000" w:themeColor="text1"/>
          <w:szCs w:val="24"/>
        </w:rPr>
        <w:t xml:space="preserve">е </w:t>
      </w:r>
      <w:r w:rsidRPr="0086584F">
        <w:rPr>
          <w:color w:val="000000" w:themeColor="text1"/>
          <w:szCs w:val="24"/>
        </w:rPr>
        <w:t xml:space="preserve">прободных и кровоточащих </w:t>
      </w:r>
      <w:proofErr w:type="spellStart"/>
      <w:r w:rsidRPr="0086584F">
        <w:rPr>
          <w:color w:val="000000" w:themeColor="text1"/>
          <w:szCs w:val="24"/>
        </w:rPr>
        <w:t>гастродуоденальных</w:t>
      </w:r>
      <w:proofErr w:type="spellEnd"/>
      <w:r w:rsidRPr="0086584F">
        <w:rPr>
          <w:color w:val="000000" w:themeColor="text1"/>
          <w:szCs w:val="24"/>
        </w:rPr>
        <w:t xml:space="preserve"> язв.</w:t>
      </w:r>
      <w:r w:rsidR="003A15DD">
        <w:rPr>
          <w:color w:val="000000" w:themeColor="text1"/>
          <w:szCs w:val="24"/>
        </w:rPr>
        <w:t xml:space="preserve"> </w:t>
      </w:r>
      <w:r w:rsidRPr="0086584F">
        <w:rPr>
          <w:color w:val="000000" w:themeColor="text1"/>
          <w:szCs w:val="24"/>
        </w:rPr>
        <w:t>Хирургия</w:t>
      </w:r>
      <w:r w:rsidR="003A15DD">
        <w:rPr>
          <w:color w:val="000000" w:themeColor="text1"/>
          <w:szCs w:val="24"/>
        </w:rPr>
        <w:t xml:space="preserve">. </w:t>
      </w:r>
      <w:r w:rsidRPr="0086584F">
        <w:rPr>
          <w:color w:val="000000" w:themeColor="text1"/>
          <w:szCs w:val="24"/>
        </w:rPr>
        <w:t>2003</w:t>
      </w:r>
      <w:r w:rsidR="0037456C">
        <w:rPr>
          <w:color w:val="000000" w:themeColor="text1"/>
          <w:szCs w:val="24"/>
        </w:rPr>
        <w:t>;</w:t>
      </w:r>
      <w:r w:rsidR="00753819" w:rsidRPr="0086584F">
        <w:rPr>
          <w:color w:val="000000" w:themeColor="text1"/>
          <w:szCs w:val="24"/>
        </w:rPr>
        <w:t xml:space="preserve"> </w:t>
      </w:r>
      <w:r w:rsidR="003A15DD">
        <w:rPr>
          <w:color w:val="000000" w:themeColor="text1"/>
          <w:szCs w:val="24"/>
        </w:rPr>
        <w:t xml:space="preserve">3: </w:t>
      </w:r>
      <w:r w:rsidRPr="0086584F">
        <w:rPr>
          <w:color w:val="000000" w:themeColor="text1"/>
          <w:szCs w:val="24"/>
        </w:rPr>
        <w:t>34-47.</w:t>
      </w:r>
    </w:p>
    <w:p w14:paraId="37421E60" w14:textId="77777777" w:rsidR="0037456C" w:rsidRPr="0037456C" w:rsidRDefault="0037456C" w:rsidP="0037456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7456C">
        <w:rPr>
          <w:color w:val="000000" w:themeColor="text1"/>
          <w:szCs w:val="24"/>
          <w:lang w:val="en-US" w:bidi="en-US"/>
        </w:rPr>
        <w:t>Møller MH, Adamsen S, Thomsen RW, Møller AM. Preoperative prognostic factors for mortality in peptic ulcer perforation: a systematic review. Scand J Gastroenterol. 2010;45(7-8):785-805. doi:10.3109/00365521003783320</w:t>
      </w:r>
      <w:r w:rsidRPr="008E5AA7">
        <w:rPr>
          <w:color w:val="000000" w:themeColor="text1"/>
          <w:szCs w:val="24"/>
          <w:lang w:val="en-US" w:bidi="en-US"/>
        </w:rPr>
        <w:t>.</w:t>
      </w:r>
    </w:p>
    <w:p w14:paraId="197EAC95" w14:textId="77777777" w:rsidR="0037456C" w:rsidRPr="0037456C" w:rsidRDefault="00212E30" w:rsidP="0037456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7456C">
        <w:rPr>
          <w:color w:val="000000" w:themeColor="text1"/>
          <w:szCs w:val="24"/>
          <w:lang w:val="en-US" w:bidi="en-US"/>
        </w:rPr>
        <w:t xml:space="preserve">Grassi R, Romano S, Pinto A, Romano L. Gastro-duodenal perforations: conventional plain film, US and CT findings in 166 consecutive patients. </w:t>
      </w:r>
      <w:r w:rsidRPr="0037456C">
        <w:rPr>
          <w:rStyle w:val="2115pt"/>
          <w:i w:val="0"/>
          <w:iCs w:val="0"/>
          <w:color w:val="000000" w:themeColor="text1"/>
          <w:sz w:val="24"/>
          <w:szCs w:val="24"/>
        </w:rPr>
        <w:t xml:space="preserve">Eur J </w:t>
      </w:r>
      <w:proofErr w:type="spellStart"/>
      <w:r w:rsidRPr="0037456C">
        <w:rPr>
          <w:rStyle w:val="2115pt"/>
          <w:i w:val="0"/>
          <w:iCs w:val="0"/>
          <w:color w:val="000000" w:themeColor="text1"/>
          <w:sz w:val="24"/>
          <w:szCs w:val="24"/>
        </w:rPr>
        <w:t>Radiol</w:t>
      </w:r>
      <w:proofErr w:type="spellEnd"/>
      <w:r w:rsidRPr="0037456C">
        <w:rPr>
          <w:rStyle w:val="2115pt"/>
          <w:i w:val="0"/>
          <w:iCs w:val="0"/>
          <w:color w:val="000000" w:themeColor="text1"/>
          <w:sz w:val="24"/>
          <w:szCs w:val="24"/>
        </w:rPr>
        <w:t>.</w:t>
      </w:r>
      <w:r w:rsidRPr="0037456C">
        <w:rPr>
          <w:color w:val="000000" w:themeColor="text1"/>
          <w:szCs w:val="24"/>
          <w:lang w:val="en-US" w:bidi="en-US"/>
        </w:rPr>
        <w:t xml:space="preserve"> </w:t>
      </w:r>
      <w:proofErr w:type="gramStart"/>
      <w:r w:rsidRPr="0037456C">
        <w:rPr>
          <w:color w:val="000000" w:themeColor="text1"/>
          <w:szCs w:val="24"/>
          <w:lang w:val="en-US"/>
        </w:rPr>
        <w:t>2004;50:30</w:t>
      </w:r>
      <w:proofErr w:type="gramEnd"/>
      <w:r w:rsidRPr="0037456C">
        <w:rPr>
          <w:color w:val="000000" w:themeColor="text1"/>
          <w:szCs w:val="24"/>
          <w:lang w:val="en-US"/>
        </w:rPr>
        <w:t xml:space="preserve">-36. </w:t>
      </w:r>
      <w:proofErr w:type="spellStart"/>
      <w:r w:rsidRPr="0037456C">
        <w:rPr>
          <w:color w:val="000000" w:themeColor="text1"/>
          <w:szCs w:val="24"/>
          <w:lang w:val="en-US" w:bidi="en-US"/>
        </w:rPr>
        <w:t>doi</w:t>
      </w:r>
      <w:proofErr w:type="spellEnd"/>
      <w:r w:rsidRPr="0037456C">
        <w:rPr>
          <w:color w:val="000000" w:themeColor="text1"/>
          <w:szCs w:val="24"/>
          <w:lang w:val="en-US" w:bidi="en-US"/>
        </w:rPr>
        <w:t>: 10.1016/j.ejrad.2003.11.012.</w:t>
      </w:r>
    </w:p>
    <w:p w14:paraId="202A6469" w14:textId="77777777" w:rsidR="0037456C" w:rsidRPr="0037456C" w:rsidRDefault="0037456C" w:rsidP="0037456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7456C">
        <w:rPr>
          <w:color w:val="000000" w:themeColor="text1"/>
          <w:szCs w:val="24"/>
          <w:lang w:val="en-US" w:bidi="en-US"/>
        </w:rPr>
        <w:t>Søreide K, Thorsen K, Søreide JA. Strategies to improve the outcome of emergency surgery for perforated peptic ulcer. Br J Surg. 2014;101(1</w:t>
      </w:r>
      <w:proofErr w:type="gramStart"/>
      <w:r w:rsidRPr="0037456C">
        <w:rPr>
          <w:color w:val="000000" w:themeColor="text1"/>
          <w:szCs w:val="24"/>
          <w:lang w:val="en-US" w:bidi="en-US"/>
        </w:rPr>
        <w:t>):e</w:t>
      </w:r>
      <w:proofErr w:type="gramEnd"/>
      <w:r w:rsidRPr="0037456C">
        <w:rPr>
          <w:color w:val="000000" w:themeColor="text1"/>
          <w:szCs w:val="24"/>
          <w:lang w:val="en-US" w:bidi="en-US"/>
        </w:rPr>
        <w:t>51-e64. doi:10.1002/bjs.9368</w:t>
      </w:r>
      <w:r w:rsidRPr="0037456C">
        <w:rPr>
          <w:color w:val="000000" w:themeColor="text1"/>
          <w:szCs w:val="24"/>
          <w:lang w:bidi="en-US"/>
        </w:rPr>
        <w:t>.</w:t>
      </w:r>
    </w:p>
    <w:p w14:paraId="14EA8B20" w14:textId="77777777" w:rsidR="00EA526D" w:rsidRPr="00EA526D" w:rsidRDefault="000A2F9C" w:rsidP="003E002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0A2F9C">
        <w:rPr>
          <w:color w:val="000000" w:themeColor="text1"/>
          <w:szCs w:val="24"/>
          <w:lang w:val="en-US" w:bidi="en-US"/>
        </w:rPr>
        <w:t>Varcus</w:t>
      </w:r>
      <w:proofErr w:type="spellEnd"/>
      <w:r w:rsidRPr="000A2F9C">
        <w:rPr>
          <w:color w:val="000000" w:themeColor="text1"/>
          <w:szCs w:val="24"/>
          <w:lang w:val="en-US" w:bidi="en-US"/>
        </w:rPr>
        <w:t xml:space="preserve"> F, Paun I, Duta C, Dobrescu A, </w:t>
      </w:r>
      <w:proofErr w:type="spellStart"/>
      <w:r w:rsidRPr="000A2F9C">
        <w:rPr>
          <w:color w:val="000000" w:themeColor="text1"/>
          <w:szCs w:val="24"/>
          <w:lang w:val="en-US" w:bidi="en-US"/>
        </w:rPr>
        <w:t>Frandes</w:t>
      </w:r>
      <w:proofErr w:type="spellEnd"/>
      <w:r w:rsidRPr="000A2F9C">
        <w:rPr>
          <w:color w:val="000000" w:themeColor="text1"/>
          <w:szCs w:val="24"/>
          <w:lang w:val="en-US" w:bidi="en-US"/>
        </w:rPr>
        <w:t xml:space="preserve"> M, Tarta C. Laparoscopic repair of perforated peptic ulcer. Minerva </w:t>
      </w:r>
      <w:proofErr w:type="spellStart"/>
      <w:r w:rsidRPr="000A2F9C">
        <w:rPr>
          <w:color w:val="000000" w:themeColor="text1"/>
          <w:szCs w:val="24"/>
          <w:lang w:val="en-US" w:bidi="en-US"/>
        </w:rPr>
        <w:t>Chir</w:t>
      </w:r>
      <w:proofErr w:type="spellEnd"/>
      <w:r w:rsidRPr="000A2F9C">
        <w:rPr>
          <w:color w:val="000000" w:themeColor="text1"/>
          <w:szCs w:val="24"/>
          <w:lang w:val="en-US" w:bidi="en-US"/>
        </w:rPr>
        <w:t>. 2018;73(2):188-193. doi:10.23736/S0026-4733.18.07603-4</w:t>
      </w:r>
    </w:p>
    <w:p w14:paraId="79FA128B" w14:textId="3C1F396B" w:rsidR="003E002B" w:rsidRPr="003E002B" w:rsidRDefault="003E002B" w:rsidP="003E002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E002B">
        <w:rPr>
          <w:color w:val="000000" w:themeColor="text1"/>
          <w:szCs w:val="24"/>
          <w:lang w:val="en-US" w:bidi="en-US"/>
        </w:rPr>
        <w:t>Sivaram P, Sreekumar A. Preoperative factors influencing mortality and morbidity in peptic ulcer perforation. Eur J Trauma Emerg Surg. 2018;44(2):251-257. doi:10.1007/s00068-017-0777-7</w:t>
      </w:r>
      <w:r w:rsidRPr="003E002B">
        <w:rPr>
          <w:color w:val="000000" w:themeColor="text1"/>
          <w:szCs w:val="24"/>
          <w:lang w:bidi="en-US"/>
        </w:rPr>
        <w:t>.</w:t>
      </w:r>
    </w:p>
    <w:p w14:paraId="4B2ECEB7" w14:textId="77777777" w:rsidR="00F203B8" w:rsidRPr="00F203B8" w:rsidRDefault="003E002B" w:rsidP="00F203B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3E002B">
        <w:rPr>
          <w:color w:val="000000" w:themeColor="text1"/>
          <w:szCs w:val="24"/>
          <w:lang w:val="en-US" w:bidi="en-US"/>
        </w:rPr>
        <w:t>Bertleff MJ, Lange JF. Perforated peptic ulcer disease: a review of history and treatment. Dig Surg. 2010;27(3):161-169. doi:10.1159/000264653</w:t>
      </w:r>
      <w:r w:rsidRPr="003E002B">
        <w:rPr>
          <w:color w:val="000000" w:themeColor="text1"/>
          <w:szCs w:val="24"/>
          <w:lang w:bidi="en-US"/>
        </w:rPr>
        <w:t>.</w:t>
      </w:r>
    </w:p>
    <w:p w14:paraId="1E797046" w14:textId="77777777" w:rsidR="00F203B8" w:rsidRPr="00F203B8" w:rsidRDefault="00F203B8" w:rsidP="00F203B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F203B8">
        <w:rPr>
          <w:color w:val="000000" w:themeColor="text1"/>
          <w:szCs w:val="24"/>
          <w:lang w:val="en-US" w:bidi="en-US"/>
        </w:rPr>
        <w:t xml:space="preserve">Furukawa A, Sakoda M, Yamasaki M, et al. Gastrointestinal tract perforation: CT diagnosis of presence, site, and cause. </w:t>
      </w:r>
      <w:proofErr w:type="spellStart"/>
      <w:r w:rsidRPr="00F203B8">
        <w:rPr>
          <w:color w:val="000000" w:themeColor="text1"/>
          <w:szCs w:val="24"/>
          <w:lang w:val="en-US" w:bidi="en-US"/>
        </w:rPr>
        <w:t>Abdom</w:t>
      </w:r>
      <w:proofErr w:type="spellEnd"/>
      <w:r w:rsidRPr="00F203B8">
        <w:rPr>
          <w:color w:val="000000" w:themeColor="text1"/>
          <w:szCs w:val="24"/>
          <w:lang w:val="en-US" w:bidi="en-US"/>
        </w:rPr>
        <w:t xml:space="preserve"> Imaging. 2005;30(5):524-534. doi:10.1007/s00261-004-0289-x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625862AC" w14:textId="77777777" w:rsidR="00F203B8" w:rsidRPr="00F203B8" w:rsidRDefault="00F203B8" w:rsidP="00F203B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F203B8">
        <w:rPr>
          <w:color w:val="000000" w:themeColor="text1"/>
          <w:szCs w:val="24"/>
          <w:lang w:val="en-US" w:bidi="en-US"/>
        </w:rPr>
        <w:t>Alshamari</w:t>
      </w:r>
      <w:proofErr w:type="spellEnd"/>
      <w:r w:rsidRPr="00F203B8">
        <w:rPr>
          <w:color w:val="000000" w:themeColor="text1"/>
          <w:szCs w:val="24"/>
          <w:lang w:val="en-US" w:bidi="en-US"/>
        </w:rPr>
        <w:t xml:space="preserve"> M, Norrman E, Geijer M, Jansson K, Geijer H. Diagnostic accuracy of low-dose CT compared with abdominal radiography in non-traumatic acute abdominal pain: prospective study and systematic review. Eur </w:t>
      </w:r>
      <w:proofErr w:type="spellStart"/>
      <w:r w:rsidRPr="00F203B8">
        <w:rPr>
          <w:color w:val="000000" w:themeColor="text1"/>
          <w:szCs w:val="24"/>
          <w:lang w:val="en-US" w:bidi="en-US"/>
        </w:rPr>
        <w:t>Radiol</w:t>
      </w:r>
      <w:proofErr w:type="spellEnd"/>
      <w:r w:rsidRPr="00F203B8">
        <w:rPr>
          <w:color w:val="000000" w:themeColor="text1"/>
          <w:szCs w:val="24"/>
          <w:lang w:val="en-US" w:bidi="en-US"/>
        </w:rPr>
        <w:t>. 2016;26(6):1766-1774. doi:10.1007/s00330-015-3984-9</w:t>
      </w:r>
      <w:r w:rsidRPr="00F203B8">
        <w:rPr>
          <w:color w:val="000000" w:themeColor="text1"/>
          <w:szCs w:val="24"/>
          <w:lang w:bidi="en-US"/>
        </w:rPr>
        <w:t>.</w:t>
      </w:r>
      <w:r w:rsidR="0031786A" w:rsidRPr="00F203B8">
        <w:rPr>
          <w:color w:val="000000" w:themeColor="text1"/>
          <w:szCs w:val="24"/>
          <w:lang w:val="en-US" w:bidi="en-US"/>
        </w:rPr>
        <w:t xml:space="preserve">         </w:t>
      </w:r>
    </w:p>
    <w:p w14:paraId="6FE48240" w14:textId="77777777" w:rsidR="00B54FC3" w:rsidRPr="00B54FC3" w:rsidRDefault="00F203B8" w:rsidP="00B54FC3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F203B8">
        <w:rPr>
          <w:color w:val="000000" w:themeColor="text1"/>
          <w:szCs w:val="24"/>
          <w:lang w:val="en-US" w:bidi="en-US"/>
        </w:rPr>
        <w:t xml:space="preserve">Malhotra AK, Fabian TC, Katsis SB, </w:t>
      </w:r>
      <w:proofErr w:type="spellStart"/>
      <w:r w:rsidRPr="00F203B8">
        <w:rPr>
          <w:color w:val="000000" w:themeColor="text1"/>
          <w:szCs w:val="24"/>
          <w:lang w:val="en-US" w:bidi="en-US"/>
        </w:rPr>
        <w:t>Gavant</w:t>
      </w:r>
      <w:proofErr w:type="spellEnd"/>
      <w:r w:rsidRPr="00F203B8">
        <w:rPr>
          <w:color w:val="000000" w:themeColor="text1"/>
          <w:szCs w:val="24"/>
          <w:lang w:val="en-US" w:bidi="en-US"/>
        </w:rPr>
        <w:t xml:space="preserve"> ML, Croce MA. Blunt bowel and mesenteric injuries: the role of screening computed tomography. J Trauma. 2000;48(6):991-1000. doi:10.1097/00005373-200006000-00001</w:t>
      </w:r>
      <w:r w:rsidRPr="00F203B8">
        <w:rPr>
          <w:color w:val="000000" w:themeColor="text1"/>
          <w:szCs w:val="24"/>
          <w:lang w:bidi="en-US"/>
        </w:rPr>
        <w:t>.</w:t>
      </w:r>
    </w:p>
    <w:p w14:paraId="4470FFA7" w14:textId="77777777" w:rsidR="00B54FC3" w:rsidRPr="00B54FC3" w:rsidRDefault="00B54FC3" w:rsidP="00B54FC3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4FC3">
        <w:rPr>
          <w:color w:val="000000" w:themeColor="text1"/>
          <w:szCs w:val="24"/>
          <w:lang w:val="en-US" w:bidi="en-US"/>
        </w:rPr>
        <w:t xml:space="preserve">Kuzmich S, Harvey CJ, Fascia DT, et al. Perforated pyloroduodenal peptic ulcer and sonography. AJR Am J </w:t>
      </w:r>
      <w:proofErr w:type="spellStart"/>
      <w:r w:rsidRPr="00B54FC3">
        <w:rPr>
          <w:color w:val="000000" w:themeColor="text1"/>
          <w:szCs w:val="24"/>
          <w:lang w:val="en-US" w:bidi="en-US"/>
        </w:rPr>
        <w:t>Roentgenol</w:t>
      </w:r>
      <w:proofErr w:type="spellEnd"/>
      <w:r w:rsidRPr="00B54FC3">
        <w:rPr>
          <w:color w:val="000000" w:themeColor="text1"/>
          <w:szCs w:val="24"/>
          <w:lang w:val="en-US" w:bidi="en-US"/>
        </w:rPr>
        <w:t>. 2012;199(5</w:t>
      </w:r>
      <w:proofErr w:type="gramStart"/>
      <w:r w:rsidRPr="00B54FC3">
        <w:rPr>
          <w:color w:val="000000" w:themeColor="text1"/>
          <w:szCs w:val="24"/>
          <w:lang w:val="en-US" w:bidi="en-US"/>
        </w:rPr>
        <w:t>):W</w:t>
      </w:r>
      <w:proofErr w:type="gramEnd"/>
      <w:r w:rsidRPr="00B54FC3">
        <w:rPr>
          <w:color w:val="000000" w:themeColor="text1"/>
          <w:szCs w:val="24"/>
          <w:lang w:val="en-US" w:bidi="en-US"/>
        </w:rPr>
        <w:t>587-W594. doi:10.2214/AJR.11.8292</w:t>
      </w:r>
      <w:r w:rsidRPr="00D92AE8">
        <w:rPr>
          <w:color w:val="000000" w:themeColor="text1"/>
          <w:szCs w:val="24"/>
          <w:lang w:val="en-US" w:bidi="en-US"/>
        </w:rPr>
        <w:t>.</w:t>
      </w:r>
    </w:p>
    <w:p w14:paraId="6A4261FB" w14:textId="77777777" w:rsidR="006C687D" w:rsidRPr="006C687D" w:rsidRDefault="00212E30" w:rsidP="006C687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4FC3">
        <w:rPr>
          <w:color w:val="000000" w:themeColor="text1"/>
          <w:szCs w:val="24"/>
        </w:rPr>
        <w:t>Лемешко</w:t>
      </w:r>
      <w:r w:rsidRPr="00B554D1">
        <w:rPr>
          <w:color w:val="000000" w:themeColor="text1"/>
          <w:szCs w:val="24"/>
        </w:rPr>
        <w:t xml:space="preserve"> </w:t>
      </w:r>
      <w:r w:rsidRPr="00B54FC3">
        <w:rPr>
          <w:color w:val="000000" w:themeColor="text1"/>
          <w:szCs w:val="24"/>
        </w:rPr>
        <w:t>З</w:t>
      </w:r>
      <w:r w:rsidRPr="00B554D1">
        <w:rPr>
          <w:color w:val="000000" w:themeColor="text1"/>
          <w:szCs w:val="24"/>
        </w:rPr>
        <w:t xml:space="preserve">. </w:t>
      </w:r>
      <w:r w:rsidRPr="00B54FC3">
        <w:rPr>
          <w:color w:val="000000" w:themeColor="text1"/>
          <w:szCs w:val="24"/>
        </w:rPr>
        <w:t>А</w:t>
      </w:r>
      <w:r w:rsidRPr="00B554D1">
        <w:rPr>
          <w:color w:val="000000" w:themeColor="text1"/>
          <w:szCs w:val="24"/>
        </w:rPr>
        <w:t xml:space="preserve">. </w:t>
      </w:r>
      <w:r w:rsidRPr="00B54FC3">
        <w:rPr>
          <w:color w:val="000000" w:themeColor="text1"/>
          <w:szCs w:val="24"/>
        </w:rPr>
        <w:t>Ультразвуковая</w:t>
      </w:r>
      <w:r w:rsidRPr="00B554D1">
        <w:rPr>
          <w:color w:val="000000" w:themeColor="text1"/>
          <w:szCs w:val="24"/>
        </w:rPr>
        <w:t xml:space="preserve"> </w:t>
      </w:r>
      <w:r w:rsidRPr="00B54FC3">
        <w:rPr>
          <w:color w:val="000000" w:themeColor="text1"/>
          <w:szCs w:val="24"/>
        </w:rPr>
        <w:t>диагностика</w:t>
      </w:r>
      <w:r w:rsidRPr="00B554D1">
        <w:rPr>
          <w:color w:val="000000" w:themeColor="text1"/>
          <w:szCs w:val="24"/>
        </w:rPr>
        <w:t xml:space="preserve"> </w:t>
      </w:r>
      <w:r w:rsidRPr="00B54FC3">
        <w:rPr>
          <w:color w:val="000000" w:themeColor="text1"/>
          <w:szCs w:val="24"/>
        </w:rPr>
        <w:t>заболеваний</w:t>
      </w:r>
      <w:r w:rsidRPr="00B554D1">
        <w:rPr>
          <w:color w:val="000000" w:themeColor="text1"/>
          <w:szCs w:val="24"/>
        </w:rPr>
        <w:t xml:space="preserve"> </w:t>
      </w:r>
      <w:r w:rsidRPr="00B54FC3">
        <w:rPr>
          <w:color w:val="000000" w:themeColor="text1"/>
          <w:szCs w:val="24"/>
        </w:rPr>
        <w:t>желудка</w:t>
      </w:r>
      <w:r w:rsidRPr="00B554D1">
        <w:rPr>
          <w:color w:val="000000" w:themeColor="text1"/>
          <w:szCs w:val="24"/>
        </w:rPr>
        <w:t xml:space="preserve">: </w:t>
      </w:r>
      <w:r w:rsidRPr="00B54FC3">
        <w:rPr>
          <w:color w:val="000000" w:themeColor="text1"/>
          <w:szCs w:val="24"/>
        </w:rPr>
        <w:t>рук</w:t>
      </w:r>
      <w:r w:rsidR="00B54FC3">
        <w:rPr>
          <w:color w:val="000000" w:themeColor="text1"/>
          <w:szCs w:val="24"/>
        </w:rPr>
        <w:t>оводство</w:t>
      </w:r>
      <w:r w:rsidRPr="00B554D1">
        <w:rPr>
          <w:color w:val="000000" w:themeColor="text1"/>
          <w:szCs w:val="24"/>
        </w:rPr>
        <w:t xml:space="preserve">. </w:t>
      </w:r>
      <w:r w:rsidRPr="00B54FC3">
        <w:rPr>
          <w:color w:val="000000" w:themeColor="text1"/>
          <w:szCs w:val="24"/>
        </w:rPr>
        <w:t>М.: ГЭОТАР-Медиа, 20</w:t>
      </w:r>
      <w:r w:rsidR="00B54FC3">
        <w:rPr>
          <w:color w:val="000000" w:themeColor="text1"/>
          <w:szCs w:val="24"/>
        </w:rPr>
        <w:t>16</w:t>
      </w:r>
      <w:r w:rsidRPr="00B54FC3">
        <w:rPr>
          <w:color w:val="000000" w:themeColor="text1"/>
          <w:szCs w:val="24"/>
        </w:rPr>
        <w:t>. - 80 с.</w:t>
      </w:r>
      <w:r w:rsidR="00B54FC3">
        <w:rPr>
          <w:color w:val="000000" w:themeColor="text1"/>
          <w:szCs w:val="24"/>
        </w:rPr>
        <w:t xml:space="preserve"> </w:t>
      </w:r>
      <w:r w:rsidR="00B54FC3">
        <w:rPr>
          <w:color w:val="000000" w:themeColor="text1"/>
          <w:szCs w:val="24"/>
          <w:lang w:val="en-US"/>
        </w:rPr>
        <w:t>I</w:t>
      </w:r>
      <w:r w:rsidR="00B54FC3" w:rsidRPr="00B54FC3">
        <w:rPr>
          <w:color w:val="000000" w:themeColor="text1"/>
          <w:szCs w:val="24"/>
        </w:rPr>
        <w:t>SBN 978-5-9704-3720-9.</w:t>
      </w:r>
    </w:p>
    <w:p w14:paraId="56F201AC" w14:textId="77777777" w:rsidR="00E47D62" w:rsidRPr="00E47D62" w:rsidRDefault="00212E30" w:rsidP="00E47D62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6C687D">
        <w:rPr>
          <w:color w:val="000000" w:themeColor="text1"/>
          <w:szCs w:val="24"/>
        </w:rPr>
        <w:t>Циммерман Я.С. Нерешенные и спорные вопросы современной гастроэнтерологии.</w:t>
      </w:r>
      <w:r w:rsidR="006C687D" w:rsidRPr="00B554D1">
        <w:rPr>
          <w:color w:val="000000" w:themeColor="text1"/>
          <w:szCs w:val="24"/>
        </w:rPr>
        <w:t xml:space="preserve"> </w:t>
      </w:r>
      <w:r w:rsidRPr="006C687D">
        <w:rPr>
          <w:color w:val="000000" w:themeColor="text1"/>
          <w:szCs w:val="24"/>
        </w:rPr>
        <w:t xml:space="preserve">М.: </w:t>
      </w:r>
      <w:proofErr w:type="spellStart"/>
      <w:r w:rsidRPr="006C687D">
        <w:rPr>
          <w:color w:val="000000" w:themeColor="text1"/>
          <w:szCs w:val="24"/>
        </w:rPr>
        <w:t>МЕДпресс</w:t>
      </w:r>
      <w:proofErr w:type="spellEnd"/>
      <w:r w:rsidRPr="006C687D">
        <w:rPr>
          <w:color w:val="000000" w:themeColor="text1"/>
          <w:szCs w:val="24"/>
        </w:rPr>
        <w:t>, 2013. - 224 с.</w:t>
      </w:r>
    </w:p>
    <w:p w14:paraId="62748324" w14:textId="77777777" w:rsidR="001123E1" w:rsidRPr="001123E1" w:rsidRDefault="001D220B" w:rsidP="001123E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E47D62">
        <w:rPr>
          <w:color w:val="000000" w:themeColor="text1"/>
          <w:szCs w:val="24"/>
        </w:rPr>
        <w:lastRenderedPageBreak/>
        <w:t xml:space="preserve">Цуканов Ю. Т. </w:t>
      </w:r>
      <w:proofErr w:type="gramStart"/>
      <w:r>
        <w:rPr>
          <w:color w:val="000000" w:themeColor="text1"/>
          <w:szCs w:val="24"/>
        </w:rPr>
        <w:t xml:space="preserve">и  </w:t>
      </w:r>
      <w:proofErr w:type="spellStart"/>
      <w:r>
        <w:rPr>
          <w:color w:val="000000" w:themeColor="text1"/>
          <w:szCs w:val="24"/>
        </w:rPr>
        <w:t>соавт</w:t>
      </w:r>
      <w:proofErr w:type="spellEnd"/>
      <w:proofErr w:type="gramEnd"/>
      <w:r>
        <w:rPr>
          <w:color w:val="000000" w:themeColor="text1"/>
          <w:szCs w:val="24"/>
        </w:rPr>
        <w:t xml:space="preserve">. </w:t>
      </w:r>
      <w:r w:rsidR="00212E30" w:rsidRPr="00E47D62">
        <w:rPr>
          <w:color w:val="000000" w:themeColor="text1"/>
          <w:szCs w:val="24"/>
        </w:rPr>
        <w:t xml:space="preserve">Применение УЗИ в диагностике и послеоперационном мониторинге </w:t>
      </w:r>
      <w:r w:rsidR="0031786A" w:rsidRPr="00E47D62">
        <w:rPr>
          <w:color w:val="000000" w:themeColor="text1"/>
          <w:szCs w:val="24"/>
        </w:rPr>
        <w:tab/>
        <w:t xml:space="preserve"> </w:t>
      </w:r>
      <w:proofErr w:type="spellStart"/>
      <w:r w:rsidR="00212E30" w:rsidRPr="00E47D62">
        <w:rPr>
          <w:color w:val="000000" w:themeColor="text1"/>
          <w:szCs w:val="24"/>
        </w:rPr>
        <w:t>пилородуоденальной</w:t>
      </w:r>
      <w:proofErr w:type="spellEnd"/>
      <w:r w:rsidR="00212E30" w:rsidRPr="00E47D62">
        <w:rPr>
          <w:color w:val="000000" w:themeColor="text1"/>
          <w:szCs w:val="24"/>
        </w:rPr>
        <w:t xml:space="preserve"> зоны при прободной язве</w:t>
      </w:r>
      <w:r>
        <w:rPr>
          <w:color w:val="000000" w:themeColor="text1"/>
          <w:szCs w:val="24"/>
        </w:rPr>
        <w:t>.</w:t>
      </w:r>
      <w:r w:rsidR="00212E30" w:rsidRPr="00E47D62">
        <w:rPr>
          <w:color w:val="000000" w:themeColor="text1"/>
          <w:szCs w:val="24"/>
        </w:rPr>
        <w:t xml:space="preserve"> Вестн</w:t>
      </w:r>
      <w:r>
        <w:rPr>
          <w:color w:val="000000" w:themeColor="text1"/>
          <w:szCs w:val="24"/>
        </w:rPr>
        <w:t>ик</w:t>
      </w:r>
      <w:r w:rsidR="00212E30" w:rsidRPr="00E47D62">
        <w:rPr>
          <w:color w:val="000000" w:themeColor="text1"/>
          <w:szCs w:val="24"/>
        </w:rPr>
        <w:t xml:space="preserve"> хирург</w:t>
      </w:r>
      <w:r>
        <w:rPr>
          <w:color w:val="000000" w:themeColor="text1"/>
          <w:szCs w:val="24"/>
        </w:rPr>
        <w:t>ической</w:t>
      </w:r>
      <w:r w:rsidR="00212E30" w:rsidRPr="00E47D62">
        <w:rPr>
          <w:color w:val="000000" w:themeColor="text1"/>
          <w:szCs w:val="24"/>
        </w:rPr>
        <w:t xml:space="preserve"> гастроэнтерологии. 2012</w:t>
      </w:r>
      <w:r>
        <w:rPr>
          <w:color w:val="000000" w:themeColor="text1"/>
          <w:szCs w:val="24"/>
          <w:lang w:val="en-US"/>
        </w:rPr>
        <w:t>;</w:t>
      </w:r>
      <w:r w:rsidR="00212E30" w:rsidRPr="00E47D62">
        <w:rPr>
          <w:color w:val="000000" w:themeColor="text1"/>
          <w:szCs w:val="24"/>
        </w:rPr>
        <w:t xml:space="preserve"> 1</w:t>
      </w:r>
      <w:r>
        <w:rPr>
          <w:color w:val="000000" w:themeColor="text1"/>
          <w:szCs w:val="24"/>
        </w:rPr>
        <w:t xml:space="preserve">: </w:t>
      </w:r>
      <w:r w:rsidR="00212E30" w:rsidRPr="00E47D62">
        <w:rPr>
          <w:color w:val="000000" w:themeColor="text1"/>
          <w:szCs w:val="24"/>
        </w:rPr>
        <w:t>27-32.</w:t>
      </w:r>
    </w:p>
    <w:p w14:paraId="21306F6C" w14:textId="77777777" w:rsidR="00971A0C" w:rsidRPr="00971A0C" w:rsidRDefault="001123E1" w:rsidP="00971A0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1123E1">
        <w:rPr>
          <w:color w:val="000000" w:themeColor="text1"/>
          <w:szCs w:val="24"/>
          <w:lang w:val="en-US" w:bidi="en-US"/>
        </w:rPr>
        <w:t xml:space="preserve">Yoshizumi T, Ikeda T, Ohta S, Nagata S, Sonoda T, </w:t>
      </w:r>
      <w:proofErr w:type="spellStart"/>
      <w:r w:rsidRPr="001123E1">
        <w:rPr>
          <w:color w:val="000000" w:themeColor="text1"/>
          <w:szCs w:val="24"/>
          <w:lang w:val="en-US" w:bidi="en-US"/>
        </w:rPr>
        <w:t>Sugimachi</w:t>
      </w:r>
      <w:proofErr w:type="spellEnd"/>
      <w:r w:rsidRPr="001123E1">
        <w:rPr>
          <w:color w:val="000000" w:themeColor="text1"/>
          <w:szCs w:val="24"/>
          <w:lang w:val="en-US" w:bidi="en-US"/>
        </w:rPr>
        <w:t xml:space="preserve"> K. Abdominal ultrasonography reveals the perforation site of duodenal ulcers. Surg </w:t>
      </w:r>
      <w:proofErr w:type="spellStart"/>
      <w:r w:rsidRPr="001123E1">
        <w:rPr>
          <w:color w:val="000000" w:themeColor="text1"/>
          <w:szCs w:val="24"/>
          <w:lang w:val="en-US" w:bidi="en-US"/>
        </w:rPr>
        <w:t>Endosc</w:t>
      </w:r>
      <w:proofErr w:type="spellEnd"/>
      <w:r w:rsidRPr="001123E1">
        <w:rPr>
          <w:color w:val="000000" w:themeColor="text1"/>
          <w:szCs w:val="24"/>
          <w:lang w:val="en-US" w:bidi="en-US"/>
        </w:rPr>
        <w:t>. 2001;15(7):758. doi:10.1007/s004640042011</w:t>
      </w:r>
      <w:r w:rsidRPr="001123E1">
        <w:rPr>
          <w:color w:val="000000" w:themeColor="text1"/>
          <w:szCs w:val="24"/>
          <w:lang w:bidi="en-US"/>
        </w:rPr>
        <w:t>.</w:t>
      </w:r>
    </w:p>
    <w:p w14:paraId="7E9550C1" w14:textId="77777777" w:rsidR="00971A0C" w:rsidRPr="00971A0C" w:rsidRDefault="00971A0C" w:rsidP="00971A0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971A0C">
        <w:rPr>
          <w:color w:val="000000" w:themeColor="text1"/>
          <w:szCs w:val="24"/>
          <w:lang w:val="en-US" w:bidi="en-US"/>
        </w:rPr>
        <w:t>Lau JY, Lo SY, Ng EK, Lee DW, Lam YH, Chung SC. A randomized comparison of acute phase response and endotoxemia in patients with perforated peptic ulcers receiving laparoscopic or open patch repair. Am J Surg. 1998;175(4):325-327. doi:10.1016/s0002-9610(98)00006-3.</w:t>
      </w:r>
      <w:r w:rsidR="0031786A" w:rsidRPr="00971A0C">
        <w:rPr>
          <w:color w:val="000000" w:themeColor="text1"/>
          <w:szCs w:val="24"/>
          <w:lang w:val="en-US" w:bidi="en-US"/>
        </w:rPr>
        <w:t xml:space="preserve">        </w:t>
      </w:r>
    </w:p>
    <w:p w14:paraId="7378983F" w14:textId="1D4BB733" w:rsidR="00971A0C" w:rsidRPr="00971A0C" w:rsidRDefault="0031786A" w:rsidP="00971A0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971A0C">
        <w:rPr>
          <w:color w:val="000000" w:themeColor="text1"/>
          <w:szCs w:val="24"/>
          <w:lang w:val="en-US" w:bidi="en-US"/>
        </w:rPr>
        <w:t xml:space="preserve"> </w:t>
      </w:r>
      <w:r w:rsidR="00971A0C" w:rsidRPr="00971A0C">
        <w:rPr>
          <w:color w:val="000000" w:themeColor="text1"/>
          <w:szCs w:val="24"/>
          <w:lang w:val="en-US" w:bidi="en-US"/>
        </w:rPr>
        <w:t>Siu WT, Leong HT, Law BK, et al. Laparoscopic repair for perforated peptic ulcer: a randomized controlled trial. Ann Surg. 2002;235(3):313-319. doi:10.1097/00000658-200203000-00001.</w:t>
      </w:r>
    </w:p>
    <w:p w14:paraId="06CF75B4" w14:textId="77777777" w:rsidR="007F12CD" w:rsidRPr="007F12CD" w:rsidRDefault="00212E30" w:rsidP="007F12C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971A0C">
        <w:rPr>
          <w:color w:val="000000" w:themeColor="text1"/>
          <w:szCs w:val="24"/>
          <w:lang w:val="en-US" w:bidi="en-US"/>
        </w:rPr>
        <w:t xml:space="preserve">Khatri K.M., Sajid S., Baig K., Sayegh M., Singh K. Laparoscopic versus </w:t>
      </w:r>
      <w:proofErr w:type="gramStart"/>
      <w:r w:rsidRPr="00971A0C">
        <w:rPr>
          <w:color w:val="000000" w:themeColor="text1"/>
          <w:szCs w:val="24"/>
          <w:lang w:val="en-US" w:bidi="en-US"/>
        </w:rPr>
        <w:t xml:space="preserve">open </w:t>
      </w:r>
      <w:r w:rsidR="00753819" w:rsidRPr="00971A0C">
        <w:rPr>
          <w:color w:val="000000" w:themeColor="text1"/>
          <w:szCs w:val="24"/>
          <w:lang w:val="en-US" w:bidi="en-US"/>
        </w:rPr>
        <w:t xml:space="preserve"> </w:t>
      </w:r>
      <w:r w:rsidRPr="00971A0C">
        <w:rPr>
          <w:color w:val="000000" w:themeColor="text1"/>
          <w:szCs w:val="24"/>
          <w:lang w:val="en-US" w:bidi="en-US"/>
        </w:rPr>
        <w:t>perforated</w:t>
      </w:r>
      <w:proofErr w:type="gramEnd"/>
      <w:r w:rsidRPr="00971A0C">
        <w:rPr>
          <w:color w:val="000000" w:themeColor="text1"/>
          <w:szCs w:val="24"/>
          <w:lang w:val="en-US" w:bidi="en-US"/>
        </w:rPr>
        <w:t xml:space="preserve"> peptic ulcer suture repair: an updated meta-analysis. </w:t>
      </w:r>
      <w:proofErr w:type="spellStart"/>
      <w:r w:rsidRPr="00907BE3">
        <w:t>Surg</w:t>
      </w:r>
      <w:proofErr w:type="spellEnd"/>
      <w:r w:rsidR="00907BE3">
        <w:t xml:space="preserve"> </w:t>
      </w:r>
      <w:proofErr w:type="spellStart"/>
      <w:r w:rsidRPr="00907BE3">
        <w:t>Endosc</w:t>
      </w:r>
      <w:proofErr w:type="spellEnd"/>
      <w:r w:rsidRPr="00907BE3">
        <w:t>.</w:t>
      </w:r>
      <w:r w:rsidRPr="00971A0C">
        <w:rPr>
          <w:color w:val="000000" w:themeColor="text1"/>
          <w:szCs w:val="24"/>
          <w:lang w:val="en-US" w:bidi="en-US"/>
        </w:rPr>
        <w:t xml:space="preserve"> 2011. 25: 54-148</w:t>
      </w:r>
      <w:r w:rsidR="00753819" w:rsidRPr="00971A0C">
        <w:rPr>
          <w:color w:val="000000" w:themeColor="text1"/>
          <w:szCs w:val="24"/>
          <w:lang w:val="en-US" w:bidi="en-US"/>
        </w:rPr>
        <w:t>.</w:t>
      </w:r>
    </w:p>
    <w:p w14:paraId="769ED4B8" w14:textId="77777777" w:rsidR="007F12CD" w:rsidRPr="007F12CD" w:rsidRDefault="007F12CD" w:rsidP="007F12C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7F12CD">
        <w:rPr>
          <w:color w:val="000000" w:themeColor="text1"/>
          <w:szCs w:val="24"/>
          <w:lang w:val="en-US"/>
        </w:rPr>
        <w:t xml:space="preserve">Antoniou SA, Antoniou GA, Koch OO, </w:t>
      </w:r>
      <w:proofErr w:type="spellStart"/>
      <w:r w:rsidRPr="007F12CD">
        <w:rPr>
          <w:color w:val="000000" w:themeColor="text1"/>
          <w:szCs w:val="24"/>
          <w:lang w:val="en-US"/>
        </w:rPr>
        <w:t>Pointner</w:t>
      </w:r>
      <w:proofErr w:type="spellEnd"/>
      <w:r w:rsidRPr="007F12CD">
        <w:rPr>
          <w:color w:val="000000" w:themeColor="text1"/>
          <w:szCs w:val="24"/>
          <w:lang w:val="en-US"/>
        </w:rPr>
        <w:t xml:space="preserve"> R, </w:t>
      </w:r>
      <w:proofErr w:type="spellStart"/>
      <w:r w:rsidRPr="007F12CD">
        <w:rPr>
          <w:color w:val="000000" w:themeColor="text1"/>
          <w:szCs w:val="24"/>
          <w:lang w:val="en-US"/>
        </w:rPr>
        <w:t>Granderath</w:t>
      </w:r>
      <w:proofErr w:type="spellEnd"/>
      <w:r w:rsidRPr="007F12CD">
        <w:rPr>
          <w:color w:val="000000" w:themeColor="text1"/>
          <w:szCs w:val="24"/>
          <w:lang w:val="en-US"/>
        </w:rPr>
        <w:t xml:space="preserve"> FA. Meta-analysis of laparoscopic versus open repair of perforated peptic ulcer. JSLS. 2013;17(1):15-22. doi:10.4293/108680812X13517013317752</w:t>
      </w:r>
      <w:r w:rsidRPr="007F12CD">
        <w:rPr>
          <w:color w:val="000000" w:themeColor="text1"/>
          <w:szCs w:val="24"/>
        </w:rPr>
        <w:t>.</w:t>
      </w:r>
    </w:p>
    <w:p w14:paraId="035FCDFE" w14:textId="77777777" w:rsidR="00E601C1" w:rsidRPr="00E601C1" w:rsidRDefault="007F12CD" w:rsidP="00E601C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7F12CD">
        <w:rPr>
          <w:color w:val="000000" w:themeColor="text1"/>
          <w:szCs w:val="24"/>
          <w:lang w:val="en-US"/>
        </w:rPr>
        <w:t xml:space="preserve">ASGE Standards of Practice Committee, Banerjee S, Cash BD, et al. The role of endoscopy in the management of patients with peptic ulcer disease. </w:t>
      </w:r>
      <w:proofErr w:type="spellStart"/>
      <w:r w:rsidRPr="007F12CD">
        <w:rPr>
          <w:color w:val="000000" w:themeColor="text1"/>
          <w:szCs w:val="24"/>
          <w:lang w:val="en-US"/>
        </w:rPr>
        <w:t>Gastrointest</w:t>
      </w:r>
      <w:proofErr w:type="spellEnd"/>
      <w:r w:rsidRPr="007F12CD">
        <w:rPr>
          <w:color w:val="000000" w:themeColor="text1"/>
          <w:szCs w:val="24"/>
          <w:lang w:val="en-US"/>
        </w:rPr>
        <w:t xml:space="preserve"> </w:t>
      </w:r>
      <w:proofErr w:type="spellStart"/>
      <w:r w:rsidRPr="007F12CD">
        <w:rPr>
          <w:color w:val="000000" w:themeColor="text1"/>
          <w:szCs w:val="24"/>
          <w:lang w:val="en-US"/>
        </w:rPr>
        <w:t>Endosc</w:t>
      </w:r>
      <w:proofErr w:type="spellEnd"/>
      <w:r w:rsidRPr="007F12CD">
        <w:rPr>
          <w:color w:val="000000" w:themeColor="text1"/>
          <w:szCs w:val="24"/>
          <w:lang w:val="en-US"/>
        </w:rPr>
        <w:t xml:space="preserve">. 2010;71(4):663-668. </w:t>
      </w:r>
      <w:proofErr w:type="gramStart"/>
      <w:r w:rsidRPr="007F12CD">
        <w:rPr>
          <w:color w:val="000000" w:themeColor="text1"/>
          <w:szCs w:val="24"/>
          <w:lang w:val="en-US"/>
        </w:rPr>
        <w:t>doi:10.1016/j.gie</w:t>
      </w:r>
      <w:proofErr w:type="gramEnd"/>
      <w:r w:rsidRPr="007F12CD">
        <w:rPr>
          <w:color w:val="000000" w:themeColor="text1"/>
          <w:szCs w:val="24"/>
          <w:lang w:val="en-US"/>
        </w:rPr>
        <w:t>.2009.11.026</w:t>
      </w:r>
      <w:r w:rsidRPr="007F12CD">
        <w:rPr>
          <w:color w:val="000000" w:themeColor="text1"/>
          <w:szCs w:val="24"/>
        </w:rPr>
        <w:t>.</w:t>
      </w:r>
    </w:p>
    <w:p w14:paraId="72EC9974" w14:textId="77777777" w:rsidR="00E601C1" w:rsidRPr="00E601C1" w:rsidRDefault="00E601C1" w:rsidP="00E601C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E601C1">
        <w:rPr>
          <w:color w:val="000000" w:themeColor="text1"/>
          <w:szCs w:val="24"/>
          <w:lang w:val="en-US"/>
        </w:rPr>
        <w:t>Shan YS, Hsu HP, Hsieh YH, Sy ED, Lee JC, Lin PW. Significance of intraoperative peritoneal culture of fungus in perforated peptic ulcer. Br J Surg. 2003;90(10):1215-1219. doi:10.1002/bjs.4267</w:t>
      </w:r>
      <w:r w:rsidRPr="00E601C1">
        <w:rPr>
          <w:color w:val="000000" w:themeColor="text1"/>
          <w:szCs w:val="24"/>
        </w:rPr>
        <w:t>.</w:t>
      </w:r>
    </w:p>
    <w:p w14:paraId="55108EED" w14:textId="77777777" w:rsidR="00680566" w:rsidRPr="00680566" w:rsidRDefault="00E601C1" w:rsidP="00680566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E601C1">
        <w:rPr>
          <w:color w:val="000000" w:themeColor="text1"/>
          <w:szCs w:val="24"/>
          <w:lang w:val="en-US"/>
        </w:rPr>
        <w:t xml:space="preserve">Songne B, Jean F, </w:t>
      </w:r>
      <w:proofErr w:type="spellStart"/>
      <w:r w:rsidRPr="00E601C1">
        <w:rPr>
          <w:color w:val="000000" w:themeColor="text1"/>
          <w:szCs w:val="24"/>
          <w:lang w:val="en-US"/>
        </w:rPr>
        <w:t>Foulatier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 O, Khalil H, </w:t>
      </w:r>
      <w:proofErr w:type="spellStart"/>
      <w:r w:rsidRPr="00E601C1">
        <w:rPr>
          <w:color w:val="000000" w:themeColor="text1"/>
          <w:szCs w:val="24"/>
          <w:lang w:val="en-US"/>
        </w:rPr>
        <w:t>Scotté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 M. </w:t>
      </w:r>
      <w:proofErr w:type="spellStart"/>
      <w:r w:rsidRPr="00E601C1">
        <w:rPr>
          <w:color w:val="000000" w:themeColor="text1"/>
          <w:szCs w:val="24"/>
          <w:lang w:val="en-US"/>
        </w:rPr>
        <w:t>Traitement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 non </w:t>
      </w:r>
      <w:proofErr w:type="spellStart"/>
      <w:r w:rsidRPr="00E601C1">
        <w:rPr>
          <w:color w:val="000000" w:themeColor="text1"/>
          <w:szCs w:val="24"/>
          <w:lang w:val="en-US"/>
        </w:rPr>
        <w:t>opératoire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 des perforations </w:t>
      </w:r>
      <w:proofErr w:type="spellStart"/>
      <w:r w:rsidRPr="00E601C1">
        <w:rPr>
          <w:color w:val="000000" w:themeColor="text1"/>
          <w:szCs w:val="24"/>
          <w:lang w:val="en-US"/>
        </w:rPr>
        <w:t>d'ulcère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 </w:t>
      </w:r>
      <w:proofErr w:type="spellStart"/>
      <w:r w:rsidRPr="00E601C1">
        <w:rPr>
          <w:color w:val="000000" w:themeColor="text1"/>
          <w:szCs w:val="24"/>
          <w:lang w:val="en-US"/>
        </w:rPr>
        <w:t>gastroduodénal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. </w:t>
      </w:r>
      <w:proofErr w:type="spellStart"/>
      <w:r w:rsidRPr="00E601C1">
        <w:rPr>
          <w:color w:val="000000" w:themeColor="text1"/>
          <w:szCs w:val="24"/>
          <w:lang w:val="en-US"/>
        </w:rPr>
        <w:t>Résultats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 </w:t>
      </w:r>
      <w:proofErr w:type="spellStart"/>
      <w:r w:rsidRPr="00E601C1">
        <w:rPr>
          <w:color w:val="000000" w:themeColor="text1"/>
          <w:szCs w:val="24"/>
          <w:lang w:val="en-US"/>
        </w:rPr>
        <w:t>d'une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 étude prospective [Non operative treatment for perforated peptic ulcer: results of a prospective study]. Ann </w:t>
      </w:r>
      <w:proofErr w:type="spellStart"/>
      <w:r w:rsidRPr="00E601C1">
        <w:rPr>
          <w:color w:val="000000" w:themeColor="text1"/>
          <w:szCs w:val="24"/>
          <w:lang w:val="en-US"/>
        </w:rPr>
        <w:t>Chir</w:t>
      </w:r>
      <w:proofErr w:type="spellEnd"/>
      <w:r w:rsidRPr="00E601C1">
        <w:rPr>
          <w:color w:val="000000" w:themeColor="text1"/>
          <w:szCs w:val="24"/>
          <w:lang w:val="en-US"/>
        </w:rPr>
        <w:t xml:space="preserve">. 2004;129(10):578-582. </w:t>
      </w:r>
      <w:proofErr w:type="gramStart"/>
      <w:r w:rsidRPr="00E601C1">
        <w:rPr>
          <w:color w:val="000000" w:themeColor="text1"/>
          <w:szCs w:val="24"/>
          <w:lang w:val="en-US"/>
        </w:rPr>
        <w:t>doi:10.1016/j.anchir</w:t>
      </w:r>
      <w:proofErr w:type="gramEnd"/>
      <w:r w:rsidRPr="00E601C1">
        <w:rPr>
          <w:color w:val="000000" w:themeColor="text1"/>
          <w:szCs w:val="24"/>
          <w:lang w:val="en-US"/>
        </w:rPr>
        <w:t>.2004.06.012</w:t>
      </w:r>
    </w:p>
    <w:p w14:paraId="16E77686" w14:textId="77777777" w:rsidR="00B53061" w:rsidRPr="00B53061" w:rsidRDefault="00680566" w:rsidP="00B5306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proofErr w:type="spellStart"/>
      <w:r w:rsidRPr="00680566">
        <w:rPr>
          <w:color w:val="000000" w:themeColor="text1"/>
          <w:szCs w:val="24"/>
          <w:lang w:val="en-US"/>
        </w:rPr>
        <w:t>Hanumanthappa</w:t>
      </w:r>
      <w:proofErr w:type="spellEnd"/>
      <w:r w:rsidRPr="00680566">
        <w:rPr>
          <w:color w:val="000000" w:themeColor="text1"/>
          <w:szCs w:val="24"/>
          <w:lang w:val="en-US"/>
        </w:rPr>
        <w:t xml:space="preserve"> M.B., Gopinathan S., Guruprasad Rai D., Neil Dsouza</w:t>
      </w:r>
      <w:r w:rsidRPr="00B554D1">
        <w:rPr>
          <w:color w:val="000000" w:themeColor="text1"/>
          <w:szCs w:val="24"/>
          <w:lang w:val="en-US"/>
        </w:rPr>
        <w:t>.</w:t>
      </w:r>
      <w:r w:rsidRPr="00680566">
        <w:rPr>
          <w:color w:val="000000" w:themeColor="text1"/>
          <w:szCs w:val="24"/>
          <w:lang w:val="en-US"/>
        </w:rPr>
        <w:t xml:space="preserve"> </w:t>
      </w:r>
      <w:r w:rsidR="00212E30" w:rsidRPr="00680566">
        <w:rPr>
          <w:color w:val="000000" w:themeColor="text1"/>
          <w:szCs w:val="24"/>
          <w:lang w:val="en-US"/>
        </w:rPr>
        <w:t>A Non-operative Treatment of Perforated Peptic Ulcer: A Prospective Study with 50 Cases. Journal of Clinical and Diagnostic Research. 2012</w:t>
      </w:r>
      <w:r w:rsidRPr="00680566">
        <w:rPr>
          <w:color w:val="000000" w:themeColor="text1"/>
          <w:szCs w:val="24"/>
        </w:rPr>
        <w:t xml:space="preserve">; </w:t>
      </w:r>
      <w:r w:rsidR="00212E30" w:rsidRPr="00680566">
        <w:rPr>
          <w:color w:val="000000" w:themeColor="text1"/>
          <w:szCs w:val="24"/>
          <w:lang w:val="en-US"/>
        </w:rPr>
        <w:t>6(4): 696-699.</w:t>
      </w:r>
    </w:p>
    <w:p w14:paraId="2D32C360" w14:textId="77777777" w:rsidR="00C429B3" w:rsidRPr="00C429B3" w:rsidRDefault="00B53061" w:rsidP="00C429B3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B53061">
        <w:rPr>
          <w:color w:val="000000" w:themeColor="text1"/>
          <w:szCs w:val="24"/>
          <w:lang w:val="en-US"/>
        </w:rPr>
        <w:t>Buck DL, Vester-Andersen M, Møller MH; Danish Clinical Register of Emergency Surgery. Surgical delay is a critical determinant of survival in perforated peptic ulcer. Br J Surg. 2013;100(8):1045-1049. doi:10.1002/bjs.9175</w:t>
      </w:r>
      <w:r w:rsidRPr="00B53061">
        <w:rPr>
          <w:color w:val="000000" w:themeColor="text1"/>
          <w:szCs w:val="24"/>
        </w:rPr>
        <w:t>.</w:t>
      </w:r>
    </w:p>
    <w:p w14:paraId="3F7A0890" w14:textId="77777777" w:rsidR="00A76C75" w:rsidRPr="00A76C75" w:rsidRDefault="00C429B3" w:rsidP="00A76C75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C429B3">
        <w:rPr>
          <w:color w:val="000000" w:themeColor="text1"/>
          <w:szCs w:val="24"/>
          <w:lang w:val="en-US"/>
        </w:rPr>
        <w:lastRenderedPageBreak/>
        <w:t xml:space="preserve">Ross JT, </w:t>
      </w:r>
      <w:proofErr w:type="spellStart"/>
      <w:r w:rsidRPr="00C429B3">
        <w:rPr>
          <w:color w:val="000000" w:themeColor="text1"/>
          <w:szCs w:val="24"/>
          <w:lang w:val="en-US"/>
        </w:rPr>
        <w:t>Matthay</w:t>
      </w:r>
      <w:proofErr w:type="spellEnd"/>
      <w:r w:rsidRPr="00C429B3">
        <w:rPr>
          <w:color w:val="000000" w:themeColor="text1"/>
          <w:szCs w:val="24"/>
          <w:lang w:val="en-US"/>
        </w:rPr>
        <w:t xml:space="preserve"> MA, Harris HW. Secondary peritonitis: principles of diagnosis and intervention. BMJ. 2018;</w:t>
      </w:r>
      <w:proofErr w:type="gramStart"/>
      <w:r w:rsidRPr="00C429B3">
        <w:rPr>
          <w:color w:val="000000" w:themeColor="text1"/>
          <w:szCs w:val="24"/>
          <w:lang w:val="en-US"/>
        </w:rPr>
        <w:t>361:k</w:t>
      </w:r>
      <w:proofErr w:type="gramEnd"/>
      <w:r w:rsidRPr="00C429B3">
        <w:rPr>
          <w:color w:val="000000" w:themeColor="text1"/>
          <w:szCs w:val="24"/>
          <w:lang w:val="en-US"/>
        </w:rPr>
        <w:t>1407. Published 2018 Jun 18. doi:10.1136/</w:t>
      </w:r>
      <w:proofErr w:type="gramStart"/>
      <w:r w:rsidRPr="00C429B3">
        <w:rPr>
          <w:color w:val="000000" w:themeColor="text1"/>
          <w:szCs w:val="24"/>
          <w:lang w:val="en-US"/>
        </w:rPr>
        <w:t>bmj.k</w:t>
      </w:r>
      <w:proofErr w:type="gramEnd"/>
      <w:r w:rsidRPr="00C429B3">
        <w:rPr>
          <w:color w:val="000000" w:themeColor="text1"/>
          <w:szCs w:val="24"/>
          <w:lang w:val="en-US"/>
        </w:rPr>
        <w:t>1407</w:t>
      </w:r>
      <w:r w:rsidRPr="00C429B3">
        <w:rPr>
          <w:color w:val="000000" w:themeColor="text1"/>
          <w:szCs w:val="24"/>
        </w:rPr>
        <w:t>.</w:t>
      </w:r>
    </w:p>
    <w:p w14:paraId="07916A9C" w14:textId="77777777" w:rsidR="00D27D53" w:rsidRPr="00D27D53" w:rsidRDefault="00A76C75" w:rsidP="00D27D53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A76C75">
        <w:rPr>
          <w:color w:val="000000" w:themeColor="text1"/>
          <w:szCs w:val="24"/>
          <w:lang w:val="en-US"/>
        </w:rPr>
        <w:t>Singer M, Deutschman CS, Seymour CW, et al. The Third International Consensus Definitions for Sepsis and Septic Shock (Sepsis-3). JAMA. 2016;315(8):801-810. doi:10.1001/jama.2016.0287</w:t>
      </w:r>
      <w:r w:rsidRPr="00A76C75">
        <w:rPr>
          <w:color w:val="000000" w:themeColor="text1"/>
          <w:szCs w:val="24"/>
        </w:rPr>
        <w:t>.</w:t>
      </w:r>
    </w:p>
    <w:p w14:paraId="2666D461" w14:textId="77777777" w:rsidR="00D519DD" w:rsidRPr="00D519DD" w:rsidRDefault="00D27D53" w:rsidP="00D519D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proofErr w:type="spellStart"/>
      <w:r w:rsidRPr="00D27D53">
        <w:rPr>
          <w:color w:val="000000" w:themeColor="text1"/>
          <w:szCs w:val="24"/>
          <w:lang w:val="en-US"/>
        </w:rPr>
        <w:t>Sartelli</w:t>
      </w:r>
      <w:proofErr w:type="spellEnd"/>
      <w:r w:rsidRPr="00D27D53">
        <w:rPr>
          <w:color w:val="000000" w:themeColor="text1"/>
          <w:szCs w:val="24"/>
          <w:lang w:val="en-US"/>
        </w:rPr>
        <w:t xml:space="preserve"> M, Kluger Y, </w:t>
      </w:r>
      <w:proofErr w:type="spellStart"/>
      <w:r w:rsidRPr="00D27D53">
        <w:rPr>
          <w:color w:val="000000" w:themeColor="text1"/>
          <w:szCs w:val="24"/>
          <w:lang w:val="en-US"/>
        </w:rPr>
        <w:t>Ansaloni</w:t>
      </w:r>
      <w:proofErr w:type="spellEnd"/>
      <w:r w:rsidRPr="00D27D53">
        <w:rPr>
          <w:color w:val="000000" w:themeColor="text1"/>
          <w:szCs w:val="24"/>
          <w:lang w:val="en-US"/>
        </w:rPr>
        <w:t xml:space="preserve"> L, et al. Raising concerns about the Sepsis-3 definitions. World J Emerg Surg. </w:t>
      </w:r>
      <w:proofErr w:type="gramStart"/>
      <w:r w:rsidRPr="00D27D53">
        <w:rPr>
          <w:color w:val="000000" w:themeColor="text1"/>
          <w:szCs w:val="24"/>
          <w:lang w:val="en-US"/>
        </w:rPr>
        <w:t>2018;13:6</w:t>
      </w:r>
      <w:proofErr w:type="gramEnd"/>
      <w:r w:rsidRPr="00D27D53">
        <w:rPr>
          <w:color w:val="000000" w:themeColor="text1"/>
          <w:szCs w:val="24"/>
          <w:lang w:val="en-US"/>
        </w:rPr>
        <w:t>. Published 2018 Jan 25. doi:10.1186/s13017-018-0165-6</w:t>
      </w:r>
      <w:r w:rsidRPr="00D92AE8">
        <w:rPr>
          <w:color w:val="000000" w:themeColor="text1"/>
          <w:szCs w:val="24"/>
          <w:lang w:val="en-US"/>
        </w:rPr>
        <w:t>.</w:t>
      </w:r>
    </w:p>
    <w:p w14:paraId="7DAFCD8D" w14:textId="77777777" w:rsidR="00D519DD" w:rsidRPr="00D519DD" w:rsidRDefault="00D519DD" w:rsidP="00D519D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D519DD">
        <w:rPr>
          <w:color w:val="000000" w:themeColor="text1"/>
          <w:szCs w:val="24"/>
          <w:lang w:val="en-US"/>
        </w:rPr>
        <w:t xml:space="preserve">Seymour CW, </w:t>
      </w:r>
      <w:proofErr w:type="spellStart"/>
      <w:r w:rsidRPr="00D519DD">
        <w:rPr>
          <w:color w:val="000000" w:themeColor="text1"/>
          <w:szCs w:val="24"/>
          <w:lang w:val="en-US"/>
        </w:rPr>
        <w:t>Gesten</w:t>
      </w:r>
      <w:proofErr w:type="spellEnd"/>
      <w:r w:rsidRPr="00D519DD">
        <w:rPr>
          <w:color w:val="000000" w:themeColor="text1"/>
          <w:szCs w:val="24"/>
          <w:lang w:val="en-US"/>
        </w:rPr>
        <w:t xml:space="preserve"> F, Prescott HC, et al. Time to Treatment and Mortality during Mandated Emergency Care for Sepsis. N Engl J Med. 2017;376(23):2235-2244. doi:10.1056/NEJMoa1703058</w:t>
      </w:r>
      <w:r w:rsidRPr="009352B1">
        <w:rPr>
          <w:color w:val="000000" w:themeColor="text1"/>
          <w:szCs w:val="24"/>
          <w:lang w:val="en-US"/>
        </w:rPr>
        <w:t>.</w:t>
      </w:r>
    </w:p>
    <w:p w14:paraId="134C571E" w14:textId="77777777" w:rsidR="007F636E" w:rsidRPr="007F636E" w:rsidRDefault="00D519DD" w:rsidP="007F636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D519DD">
        <w:rPr>
          <w:color w:val="000000" w:themeColor="text1"/>
          <w:szCs w:val="24"/>
          <w:lang w:val="en-US"/>
        </w:rPr>
        <w:t>Cecconi M, Evans L, Levy M, Rhodes A. Sepsis and septic shock. Lancet. 2018;392(10141):75-87. doi:10.1016/S0140-6736(18)30696-2</w:t>
      </w:r>
      <w:r w:rsidRPr="00D519DD">
        <w:rPr>
          <w:color w:val="000000" w:themeColor="text1"/>
          <w:szCs w:val="24"/>
        </w:rPr>
        <w:t>.</w:t>
      </w:r>
    </w:p>
    <w:p w14:paraId="28CFDF4B" w14:textId="77777777" w:rsidR="006E53DC" w:rsidRPr="006E53DC" w:rsidRDefault="007F636E" w:rsidP="006E53D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7F636E">
        <w:rPr>
          <w:color w:val="000000" w:themeColor="text1"/>
          <w:szCs w:val="24"/>
          <w:lang w:val="en-US" w:bidi="en-US"/>
        </w:rPr>
        <w:t xml:space="preserve">Rhodes A, Evans LE, </w:t>
      </w:r>
      <w:proofErr w:type="spellStart"/>
      <w:r w:rsidRPr="007F636E">
        <w:rPr>
          <w:color w:val="000000" w:themeColor="text1"/>
          <w:szCs w:val="24"/>
          <w:lang w:val="en-US" w:bidi="en-US"/>
        </w:rPr>
        <w:t>Alhazzani</w:t>
      </w:r>
      <w:proofErr w:type="spellEnd"/>
      <w:r w:rsidRPr="007F636E">
        <w:rPr>
          <w:color w:val="000000" w:themeColor="text1"/>
          <w:szCs w:val="24"/>
          <w:lang w:val="en-US" w:bidi="en-US"/>
        </w:rPr>
        <w:t xml:space="preserve"> W, et al. Surviving Sepsis Campaign: International Guidelines for Management of Sepsis and Septic Shock: 2016. Crit Care Med. 2017;45(3):486-552. doi:10.1097/CCM.0000000000002255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1C0D4380" w14:textId="43E33A53" w:rsidR="0018388E" w:rsidRPr="0018388E" w:rsidRDefault="006E53DC" w:rsidP="0018388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6E53DC">
        <w:rPr>
          <w:color w:val="000000" w:themeColor="text1"/>
          <w:szCs w:val="24"/>
          <w:lang w:val="en-US" w:bidi="en-US"/>
        </w:rPr>
        <w:t xml:space="preserve">Horn CB, </w:t>
      </w:r>
      <w:proofErr w:type="spellStart"/>
      <w:r w:rsidRPr="006E53DC">
        <w:rPr>
          <w:color w:val="000000" w:themeColor="text1"/>
          <w:szCs w:val="24"/>
          <w:lang w:val="en-US" w:bidi="en-US"/>
        </w:rPr>
        <w:t>Coleoglou</w:t>
      </w:r>
      <w:proofErr w:type="spellEnd"/>
      <w:r w:rsidRPr="006E53DC">
        <w:rPr>
          <w:color w:val="000000" w:themeColor="text1"/>
          <w:szCs w:val="24"/>
          <w:lang w:val="en-US" w:bidi="en-US"/>
        </w:rPr>
        <w:t xml:space="preserve"> Centeno AA, </w:t>
      </w:r>
      <w:proofErr w:type="spellStart"/>
      <w:r w:rsidRPr="006E53DC">
        <w:rPr>
          <w:color w:val="000000" w:themeColor="text1"/>
          <w:szCs w:val="24"/>
          <w:lang w:val="en-US" w:bidi="en-US"/>
        </w:rPr>
        <w:t>Rasane</w:t>
      </w:r>
      <w:proofErr w:type="spellEnd"/>
      <w:r w:rsidRPr="006E53DC">
        <w:rPr>
          <w:color w:val="000000" w:themeColor="text1"/>
          <w:szCs w:val="24"/>
          <w:lang w:val="en-US" w:bidi="en-US"/>
        </w:rPr>
        <w:t xml:space="preserve"> RK, et al. Pre-Operative Anti-Fungal Therapy Does Not Improve Outcomes in Perforated Peptic Ulcers. Surg Infect (</w:t>
      </w:r>
      <w:proofErr w:type="spellStart"/>
      <w:r w:rsidRPr="006E53DC">
        <w:rPr>
          <w:color w:val="000000" w:themeColor="text1"/>
          <w:szCs w:val="24"/>
          <w:lang w:val="en-US" w:bidi="en-US"/>
        </w:rPr>
        <w:t>Larchmt</w:t>
      </w:r>
      <w:proofErr w:type="spellEnd"/>
      <w:r w:rsidRPr="006E53DC">
        <w:rPr>
          <w:color w:val="000000" w:themeColor="text1"/>
          <w:szCs w:val="24"/>
          <w:lang w:val="en-US" w:bidi="en-US"/>
        </w:rPr>
        <w:t>). 2018;19(6):587-592. doi:10.1089/sur.2018.058</w:t>
      </w:r>
      <w:r w:rsidR="0018388E" w:rsidRPr="009352B1">
        <w:rPr>
          <w:color w:val="000000" w:themeColor="text1"/>
          <w:szCs w:val="24"/>
          <w:lang w:val="en-US" w:bidi="en-US"/>
        </w:rPr>
        <w:t>.</w:t>
      </w:r>
    </w:p>
    <w:p w14:paraId="0CDDC649" w14:textId="77777777" w:rsidR="00843F5A" w:rsidRPr="00843F5A" w:rsidRDefault="0018388E" w:rsidP="00843F5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18388E">
        <w:rPr>
          <w:color w:val="000000" w:themeColor="text1"/>
          <w:szCs w:val="24"/>
          <w:lang w:val="en-US" w:bidi="en-US"/>
        </w:rPr>
        <w:t>Prakash A, Sharma D, Saxena A, et al. Effect of Candida infection on outcome in patients with perforation peritonitis. Indian J Gastroenterol. 2008;27(3):107-109.</w:t>
      </w:r>
    </w:p>
    <w:p w14:paraId="6E39821B" w14:textId="77777777" w:rsidR="00E03188" w:rsidRPr="00E03188" w:rsidRDefault="00212E30" w:rsidP="00E0318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843F5A">
        <w:rPr>
          <w:color w:val="000000" w:themeColor="text1"/>
          <w:szCs w:val="24"/>
          <w:lang w:val="en-US" w:bidi="en-US"/>
        </w:rPr>
        <w:t>Zedan AS, Lolah MA, Badr ML, Ammar MS</w:t>
      </w:r>
      <w:r w:rsidR="00995C65" w:rsidRPr="00B554D1">
        <w:rPr>
          <w:color w:val="000000" w:themeColor="text1"/>
          <w:szCs w:val="24"/>
          <w:lang w:val="en-US" w:bidi="en-US"/>
        </w:rPr>
        <w:t>.</w:t>
      </w:r>
      <w:r w:rsidRPr="00843F5A">
        <w:rPr>
          <w:color w:val="000000" w:themeColor="text1"/>
          <w:szCs w:val="24"/>
          <w:lang w:val="en-US" w:bidi="en-US"/>
        </w:rPr>
        <w:t xml:space="preserve"> Laparoscopic versus open repair of perforated duodenal peptic ulcer: a randomized controlled trial. </w:t>
      </w:r>
      <w:r w:rsidRPr="00843F5A">
        <w:rPr>
          <w:rStyle w:val="2115pt"/>
          <w:i w:val="0"/>
          <w:iCs w:val="0"/>
          <w:color w:val="000000" w:themeColor="text1"/>
          <w:sz w:val="24"/>
          <w:szCs w:val="24"/>
        </w:rPr>
        <w:t>Menoufia Med J.</w:t>
      </w:r>
      <w:r w:rsidRPr="00843F5A">
        <w:rPr>
          <w:color w:val="000000" w:themeColor="text1"/>
          <w:szCs w:val="24"/>
          <w:lang w:val="en-US" w:bidi="en-US"/>
        </w:rPr>
        <w:t xml:space="preserve"> 2015; 28: 62-68.</w:t>
      </w:r>
      <w:r w:rsidR="00995C65" w:rsidRPr="00843F5A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="00995C65" w:rsidRPr="00843F5A">
        <w:rPr>
          <w:color w:val="000000" w:themeColor="text1"/>
          <w:szCs w:val="24"/>
          <w:lang w:val="en-US" w:bidi="en-US"/>
        </w:rPr>
        <w:t>doi</w:t>
      </w:r>
      <w:proofErr w:type="spellEnd"/>
      <w:r w:rsidR="00995C65" w:rsidRPr="00843F5A">
        <w:rPr>
          <w:color w:val="000000" w:themeColor="text1"/>
          <w:szCs w:val="24"/>
          <w:lang w:val="en-US" w:bidi="en-US"/>
        </w:rPr>
        <w:t>: 10.4103/1110-2098.155945</w:t>
      </w:r>
      <w:r w:rsidR="00995C65" w:rsidRPr="009352B1">
        <w:rPr>
          <w:lang w:val="en-US"/>
        </w:rPr>
        <w:t>.</w:t>
      </w:r>
    </w:p>
    <w:p w14:paraId="01DCE1D5" w14:textId="77777777" w:rsidR="00E03188" w:rsidRPr="00E03188" w:rsidRDefault="00E03188" w:rsidP="00E0318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E03188">
        <w:rPr>
          <w:color w:val="000000" w:themeColor="text1"/>
          <w:szCs w:val="24"/>
          <w:lang w:val="en-US" w:bidi="en-US"/>
        </w:rPr>
        <w:t xml:space="preserve">Ge B, Wu M, Chen Q, et al. A prospective randomized controlled trial of laparoscopic repair versus open repair for perforated peptic ulcers. Surgery. 2016;159(2):451-458. </w:t>
      </w:r>
      <w:proofErr w:type="gramStart"/>
      <w:r w:rsidRPr="00E03188">
        <w:rPr>
          <w:color w:val="000000" w:themeColor="text1"/>
          <w:szCs w:val="24"/>
          <w:lang w:val="en-US" w:bidi="en-US"/>
        </w:rPr>
        <w:t>doi:10.1016/j.surg</w:t>
      </w:r>
      <w:proofErr w:type="gramEnd"/>
      <w:r w:rsidRPr="00E03188">
        <w:rPr>
          <w:color w:val="000000" w:themeColor="text1"/>
          <w:szCs w:val="24"/>
          <w:lang w:val="en-US" w:bidi="en-US"/>
        </w:rPr>
        <w:t>.2015.07.021</w:t>
      </w:r>
      <w:r w:rsidRPr="00E03188">
        <w:rPr>
          <w:color w:val="000000" w:themeColor="text1"/>
          <w:szCs w:val="24"/>
          <w:lang w:bidi="en-US"/>
        </w:rPr>
        <w:t>.</w:t>
      </w:r>
    </w:p>
    <w:p w14:paraId="1C00AECB" w14:textId="73C5AE91" w:rsidR="00550ADC" w:rsidRPr="00550ADC" w:rsidRDefault="00212E30" w:rsidP="00550AD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E03188">
        <w:rPr>
          <w:color w:val="000000" w:themeColor="text1"/>
          <w:szCs w:val="24"/>
        </w:rPr>
        <w:t xml:space="preserve">Чернооков А. И., Наумов Б. А., Яковченко А.В., </w:t>
      </w:r>
      <w:proofErr w:type="spellStart"/>
      <w:r w:rsidRPr="00E03188">
        <w:rPr>
          <w:color w:val="000000" w:themeColor="text1"/>
          <w:szCs w:val="24"/>
        </w:rPr>
        <w:t>Сильчук</w:t>
      </w:r>
      <w:proofErr w:type="spellEnd"/>
      <w:r w:rsidRPr="00E03188">
        <w:rPr>
          <w:color w:val="000000" w:themeColor="text1"/>
          <w:szCs w:val="24"/>
        </w:rPr>
        <w:t xml:space="preserve"> Е. С., </w:t>
      </w:r>
      <w:proofErr w:type="spellStart"/>
      <w:r w:rsidRPr="00E03188">
        <w:rPr>
          <w:color w:val="000000" w:themeColor="text1"/>
          <w:szCs w:val="24"/>
        </w:rPr>
        <w:t>Плугин</w:t>
      </w:r>
      <w:proofErr w:type="spellEnd"/>
      <w:r w:rsidRPr="00E03188">
        <w:rPr>
          <w:color w:val="000000" w:themeColor="text1"/>
          <w:szCs w:val="24"/>
        </w:rPr>
        <w:t xml:space="preserve"> О.Г. Тактика хирургического лечения больных с сочетанными осложнениями язв двенадцатиперстной кишки в экстренной хирургии. Анналы</w:t>
      </w:r>
      <w:r w:rsidRPr="00E03188">
        <w:rPr>
          <w:color w:val="000000" w:themeColor="text1"/>
          <w:szCs w:val="24"/>
          <w:lang w:val="en-US"/>
        </w:rPr>
        <w:t xml:space="preserve"> </w:t>
      </w:r>
      <w:r w:rsidRPr="00E03188">
        <w:rPr>
          <w:color w:val="000000" w:themeColor="text1"/>
          <w:szCs w:val="24"/>
        </w:rPr>
        <w:t>хирургии</w:t>
      </w:r>
      <w:r w:rsidR="00E03188">
        <w:rPr>
          <w:color w:val="000000" w:themeColor="text1"/>
          <w:szCs w:val="24"/>
        </w:rPr>
        <w:t xml:space="preserve">. </w:t>
      </w:r>
      <w:r w:rsidRPr="00E03188">
        <w:rPr>
          <w:color w:val="000000" w:themeColor="text1"/>
          <w:szCs w:val="24"/>
          <w:lang w:val="en-US"/>
        </w:rPr>
        <w:t>2010</w:t>
      </w:r>
      <w:r w:rsidR="00E03188">
        <w:rPr>
          <w:color w:val="000000" w:themeColor="text1"/>
          <w:szCs w:val="24"/>
        </w:rPr>
        <w:t>; 2:</w:t>
      </w:r>
      <w:r w:rsidRPr="00E03188">
        <w:rPr>
          <w:color w:val="000000" w:themeColor="text1"/>
          <w:szCs w:val="24"/>
          <w:lang w:val="en-US"/>
        </w:rPr>
        <w:t xml:space="preserve"> 13-16.</w:t>
      </w:r>
    </w:p>
    <w:p w14:paraId="27AE20F2" w14:textId="69D7784F" w:rsidR="00954FD2" w:rsidRPr="00954FD2" w:rsidRDefault="00550ADC" w:rsidP="00954FD2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proofErr w:type="spellStart"/>
      <w:r>
        <w:rPr>
          <w:color w:val="000000" w:themeColor="text1"/>
          <w:szCs w:val="24"/>
          <w:lang w:val="en-US" w:bidi="en-US"/>
        </w:rPr>
        <w:t>Weledji</w:t>
      </w:r>
      <w:proofErr w:type="spellEnd"/>
      <w:r>
        <w:rPr>
          <w:color w:val="000000" w:themeColor="text1"/>
          <w:szCs w:val="24"/>
          <w:lang w:val="en-US" w:bidi="en-US"/>
        </w:rPr>
        <w:t xml:space="preserve"> TP.  An overview of gastroduodenal perforation. Front Surg. 2020 Nov 9: 7: 573901. Doi: 10.3389/fsurg.2020.573901.</w:t>
      </w:r>
    </w:p>
    <w:p w14:paraId="50FC096F" w14:textId="77777777" w:rsidR="004A2C08" w:rsidRPr="004A2C08" w:rsidRDefault="00954FD2" w:rsidP="004A2C0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954FD2">
        <w:rPr>
          <w:color w:val="000000" w:themeColor="text1"/>
          <w:szCs w:val="24"/>
          <w:lang w:val="en-US" w:bidi="en-US"/>
        </w:rPr>
        <w:t xml:space="preserve">Abd </w:t>
      </w:r>
      <w:proofErr w:type="spellStart"/>
      <w:r w:rsidRPr="00954FD2">
        <w:rPr>
          <w:color w:val="000000" w:themeColor="text1"/>
          <w:szCs w:val="24"/>
          <w:lang w:val="en-US" w:bidi="en-US"/>
        </w:rPr>
        <w:t>Ellatif</w:t>
      </w:r>
      <w:proofErr w:type="spellEnd"/>
      <w:r w:rsidRPr="00954FD2">
        <w:rPr>
          <w:color w:val="000000" w:themeColor="text1"/>
          <w:szCs w:val="24"/>
          <w:lang w:val="en-US" w:bidi="en-US"/>
        </w:rPr>
        <w:t xml:space="preserve"> ME, Salama AF, </w:t>
      </w:r>
      <w:proofErr w:type="spellStart"/>
      <w:r w:rsidRPr="00954FD2">
        <w:rPr>
          <w:color w:val="000000" w:themeColor="text1"/>
          <w:szCs w:val="24"/>
          <w:lang w:val="en-US" w:bidi="en-US"/>
        </w:rPr>
        <w:t>Elezaby</w:t>
      </w:r>
      <w:proofErr w:type="spellEnd"/>
      <w:r w:rsidRPr="00954FD2">
        <w:rPr>
          <w:color w:val="000000" w:themeColor="text1"/>
          <w:szCs w:val="24"/>
          <w:lang w:val="en-US" w:bidi="en-US"/>
        </w:rPr>
        <w:t xml:space="preserve"> AF, et al. Laparoscopic repair of perforated peptic ulcer: patch versus simple closure. Int J Surg. 2013;11(9):948-951. </w:t>
      </w:r>
      <w:proofErr w:type="gramStart"/>
      <w:r w:rsidRPr="00954FD2">
        <w:rPr>
          <w:color w:val="000000" w:themeColor="text1"/>
          <w:szCs w:val="24"/>
          <w:lang w:val="en-US" w:bidi="en-US"/>
        </w:rPr>
        <w:t>doi:10.1016/j.ijsu</w:t>
      </w:r>
      <w:proofErr w:type="gramEnd"/>
      <w:r w:rsidRPr="00954FD2">
        <w:rPr>
          <w:color w:val="000000" w:themeColor="text1"/>
          <w:szCs w:val="24"/>
          <w:lang w:val="en-US" w:bidi="en-US"/>
        </w:rPr>
        <w:t>.2013.06.014</w:t>
      </w:r>
      <w:r w:rsidRPr="00D92AE8">
        <w:rPr>
          <w:color w:val="000000" w:themeColor="text1"/>
          <w:szCs w:val="24"/>
          <w:lang w:val="en-US" w:bidi="en-US"/>
        </w:rPr>
        <w:t>.</w:t>
      </w:r>
    </w:p>
    <w:p w14:paraId="34DC4254" w14:textId="77777777" w:rsidR="00AA0F4E" w:rsidRPr="00AA0F4E" w:rsidRDefault="004A2C08" w:rsidP="00AA0F4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4A2C08">
        <w:rPr>
          <w:color w:val="000000" w:themeColor="text1"/>
          <w:szCs w:val="24"/>
          <w:lang w:val="en-US" w:bidi="en-US"/>
        </w:rPr>
        <w:lastRenderedPageBreak/>
        <w:t xml:space="preserve">Lin BC, Liao CH, Wang SY, Hwang TL. Laparoscopic repair of perforated peptic ulcer: simple closure versus omentopexy. J Surg Res. </w:t>
      </w:r>
      <w:proofErr w:type="gramStart"/>
      <w:r w:rsidRPr="004A2C08">
        <w:rPr>
          <w:color w:val="000000" w:themeColor="text1"/>
          <w:szCs w:val="24"/>
          <w:lang w:val="en-US" w:bidi="en-US"/>
        </w:rPr>
        <w:t>2017;220:341</w:t>
      </w:r>
      <w:proofErr w:type="gramEnd"/>
      <w:r w:rsidRPr="004A2C08">
        <w:rPr>
          <w:color w:val="000000" w:themeColor="text1"/>
          <w:szCs w:val="24"/>
          <w:lang w:val="en-US" w:bidi="en-US"/>
        </w:rPr>
        <w:t xml:space="preserve">-345. </w:t>
      </w:r>
      <w:proofErr w:type="gramStart"/>
      <w:r w:rsidRPr="004A2C08">
        <w:rPr>
          <w:color w:val="000000" w:themeColor="text1"/>
          <w:szCs w:val="24"/>
          <w:lang w:val="en-US" w:bidi="en-US"/>
        </w:rPr>
        <w:t>doi:10.1016/j.jss</w:t>
      </w:r>
      <w:proofErr w:type="gramEnd"/>
      <w:r w:rsidRPr="004A2C08">
        <w:rPr>
          <w:color w:val="000000" w:themeColor="text1"/>
          <w:szCs w:val="24"/>
          <w:lang w:val="en-US" w:bidi="en-US"/>
        </w:rPr>
        <w:t>.2017.07.034</w:t>
      </w:r>
      <w:r w:rsidRPr="004A2C08">
        <w:rPr>
          <w:color w:val="000000" w:themeColor="text1"/>
          <w:szCs w:val="24"/>
          <w:lang w:bidi="en-US"/>
        </w:rPr>
        <w:t>.</w:t>
      </w:r>
    </w:p>
    <w:p w14:paraId="4BA8F632" w14:textId="77777777" w:rsidR="00AA0F4E" w:rsidRPr="00AA0F4E" w:rsidRDefault="00AA0F4E" w:rsidP="00AA0F4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proofErr w:type="spellStart"/>
      <w:r w:rsidRPr="00AA0F4E">
        <w:rPr>
          <w:color w:val="000000" w:themeColor="text1"/>
          <w:szCs w:val="24"/>
          <w:lang w:val="en-US" w:bidi="en-US"/>
        </w:rPr>
        <w:t>Vărcuş</w:t>
      </w:r>
      <w:proofErr w:type="spellEnd"/>
      <w:r w:rsidRPr="00AA0F4E">
        <w:rPr>
          <w:color w:val="000000" w:themeColor="text1"/>
          <w:szCs w:val="24"/>
          <w:lang w:val="en-US" w:bidi="en-US"/>
        </w:rPr>
        <w:t xml:space="preserve"> F, </w:t>
      </w:r>
      <w:proofErr w:type="spellStart"/>
      <w:r w:rsidRPr="00AA0F4E">
        <w:rPr>
          <w:color w:val="000000" w:themeColor="text1"/>
          <w:szCs w:val="24"/>
          <w:lang w:val="en-US" w:bidi="en-US"/>
        </w:rPr>
        <w:t>Beuran</w:t>
      </w:r>
      <w:proofErr w:type="spellEnd"/>
      <w:r w:rsidRPr="00AA0F4E">
        <w:rPr>
          <w:color w:val="000000" w:themeColor="text1"/>
          <w:szCs w:val="24"/>
          <w:lang w:val="en-US" w:bidi="en-US"/>
        </w:rPr>
        <w:t xml:space="preserve"> M, Lica I, et al. Laparoscopic Repair for Perforated Peptic Ulcer: A Retrospective Study. World J Surg. 2017;41(4):948-953. doi:10.1007/s00268-016-3821-6.</w:t>
      </w:r>
      <w:r w:rsidR="00381151" w:rsidRPr="00AA0F4E">
        <w:rPr>
          <w:color w:val="000000" w:themeColor="text1"/>
          <w:szCs w:val="24"/>
          <w:lang w:val="en-US" w:bidi="en-US"/>
        </w:rPr>
        <w:t xml:space="preserve">         </w:t>
      </w:r>
    </w:p>
    <w:p w14:paraId="1022099B" w14:textId="77777777" w:rsidR="0072690D" w:rsidRPr="0072690D" w:rsidRDefault="00AA0F4E" w:rsidP="0072690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AA0F4E">
        <w:rPr>
          <w:color w:val="000000" w:themeColor="text1"/>
          <w:szCs w:val="24"/>
          <w:lang w:val="en-US" w:bidi="en-US"/>
        </w:rPr>
        <w:t xml:space="preserve">Ates M, Sevil S, </w:t>
      </w:r>
      <w:proofErr w:type="spellStart"/>
      <w:r w:rsidRPr="00AA0F4E">
        <w:rPr>
          <w:color w:val="000000" w:themeColor="text1"/>
          <w:szCs w:val="24"/>
          <w:lang w:val="en-US" w:bidi="en-US"/>
        </w:rPr>
        <w:t>Bakircioglu</w:t>
      </w:r>
      <w:proofErr w:type="spellEnd"/>
      <w:r w:rsidRPr="00AA0F4E">
        <w:rPr>
          <w:color w:val="000000" w:themeColor="text1"/>
          <w:szCs w:val="24"/>
          <w:lang w:val="en-US" w:bidi="en-US"/>
        </w:rPr>
        <w:t xml:space="preserve"> E, Colak C. Laparoscopic repair of peptic ulcer perforation without omental patch versus conventional open repair. J </w:t>
      </w:r>
      <w:proofErr w:type="spellStart"/>
      <w:r w:rsidRPr="00AA0F4E">
        <w:rPr>
          <w:color w:val="000000" w:themeColor="text1"/>
          <w:szCs w:val="24"/>
          <w:lang w:val="en-US" w:bidi="en-US"/>
        </w:rPr>
        <w:t>Laparoendosc</w:t>
      </w:r>
      <w:proofErr w:type="spellEnd"/>
      <w:r w:rsidRPr="00AA0F4E">
        <w:rPr>
          <w:color w:val="000000" w:themeColor="text1"/>
          <w:szCs w:val="24"/>
          <w:lang w:val="en-US" w:bidi="en-US"/>
        </w:rPr>
        <w:t xml:space="preserve"> Adv Surg Tech A. 2007;17(5):615-619. doi:10.1089/lap.2006.0195.</w:t>
      </w:r>
    </w:p>
    <w:p w14:paraId="11DC88B5" w14:textId="77777777" w:rsidR="00CD1FE8" w:rsidRPr="00CD1FE8" w:rsidRDefault="0072690D" w:rsidP="00CD1FE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72690D">
        <w:rPr>
          <w:color w:val="000000" w:themeColor="text1"/>
          <w:szCs w:val="24"/>
          <w:lang w:val="en-US" w:bidi="en-US"/>
        </w:rPr>
        <w:t xml:space="preserve">Gupta S, Kaushik R, Sharma R, </w:t>
      </w:r>
      <w:proofErr w:type="spellStart"/>
      <w:r w:rsidRPr="0072690D">
        <w:rPr>
          <w:color w:val="000000" w:themeColor="text1"/>
          <w:szCs w:val="24"/>
          <w:lang w:val="en-US" w:bidi="en-US"/>
        </w:rPr>
        <w:t>Attri</w:t>
      </w:r>
      <w:proofErr w:type="spellEnd"/>
      <w:r w:rsidRPr="0072690D">
        <w:rPr>
          <w:color w:val="000000" w:themeColor="text1"/>
          <w:szCs w:val="24"/>
          <w:lang w:val="en-US" w:bidi="en-US"/>
        </w:rPr>
        <w:t xml:space="preserve"> A. The management of large perforations of duodenal ulcers. BMC Surg. </w:t>
      </w:r>
      <w:proofErr w:type="gramStart"/>
      <w:r w:rsidRPr="0072690D">
        <w:rPr>
          <w:color w:val="000000" w:themeColor="text1"/>
          <w:szCs w:val="24"/>
          <w:lang w:val="en-US" w:bidi="en-US"/>
        </w:rPr>
        <w:t>2005;5:15</w:t>
      </w:r>
      <w:proofErr w:type="gramEnd"/>
      <w:r w:rsidRPr="0072690D">
        <w:rPr>
          <w:color w:val="000000" w:themeColor="text1"/>
          <w:szCs w:val="24"/>
          <w:lang w:val="en-US" w:bidi="en-US"/>
        </w:rPr>
        <w:t>. Published 2005 Jun 25. doi:10.1186/1471-2482-5-15</w:t>
      </w:r>
      <w:r w:rsidRPr="0072690D">
        <w:rPr>
          <w:color w:val="000000" w:themeColor="text1"/>
          <w:szCs w:val="24"/>
          <w:lang w:bidi="en-US"/>
        </w:rPr>
        <w:t>.</w:t>
      </w:r>
    </w:p>
    <w:p w14:paraId="40E592B0" w14:textId="77777777" w:rsidR="00CD1FE8" w:rsidRPr="00CD1FE8" w:rsidRDefault="00CD1FE8" w:rsidP="00CD1FE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CD1FE8">
        <w:rPr>
          <w:color w:val="000000" w:themeColor="text1"/>
          <w:szCs w:val="24"/>
          <w:lang w:val="en-US" w:bidi="en-US"/>
        </w:rPr>
        <w:t xml:space="preserve">Siow SL, Mahendran HA. Laparoscopic repair of perforated peptic ulcers: the sutured omental patch and focused sequential lavage technique. Surg </w:t>
      </w:r>
      <w:proofErr w:type="spellStart"/>
      <w:r w:rsidRPr="00CD1FE8">
        <w:rPr>
          <w:color w:val="000000" w:themeColor="text1"/>
          <w:szCs w:val="24"/>
          <w:lang w:val="en-US" w:bidi="en-US"/>
        </w:rPr>
        <w:t>Laparosc</w:t>
      </w:r>
      <w:proofErr w:type="spellEnd"/>
      <w:r w:rsidRPr="00CD1FE8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CD1FE8">
        <w:rPr>
          <w:color w:val="000000" w:themeColor="text1"/>
          <w:szCs w:val="24"/>
          <w:lang w:val="en-US" w:bidi="en-US"/>
        </w:rPr>
        <w:t>Endosc</w:t>
      </w:r>
      <w:proofErr w:type="spellEnd"/>
      <w:r w:rsidRPr="00CD1FE8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CD1FE8">
        <w:rPr>
          <w:color w:val="000000" w:themeColor="text1"/>
          <w:szCs w:val="24"/>
          <w:lang w:val="en-US" w:bidi="en-US"/>
        </w:rPr>
        <w:t>Percutan</w:t>
      </w:r>
      <w:proofErr w:type="spellEnd"/>
      <w:r w:rsidRPr="00CD1FE8">
        <w:rPr>
          <w:color w:val="000000" w:themeColor="text1"/>
          <w:szCs w:val="24"/>
          <w:lang w:val="en-US" w:bidi="en-US"/>
        </w:rPr>
        <w:t xml:space="preserve"> Tech. 2014;24(2):134-139. doi:10.1097/SLE.0b013e31828fa951</w:t>
      </w:r>
      <w:r w:rsidRPr="00CD1FE8">
        <w:rPr>
          <w:color w:val="000000" w:themeColor="text1"/>
          <w:szCs w:val="24"/>
          <w:lang w:bidi="en-US"/>
        </w:rPr>
        <w:t>.</w:t>
      </w:r>
    </w:p>
    <w:p w14:paraId="273DBB56" w14:textId="77777777" w:rsidR="00CD1FE8" w:rsidRPr="00CD1FE8" w:rsidRDefault="00CD1FE8" w:rsidP="00CD1FE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CD1FE8">
        <w:rPr>
          <w:color w:val="000000" w:themeColor="text1"/>
          <w:szCs w:val="24"/>
          <w:lang w:val="en-US" w:bidi="en-US"/>
        </w:rPr>
        <w:t xml:space="preserve">Kumar P, Khan HM, </w:t>
      </w:r>
      <w:proofErr w:type="spellStart"/>
      <w:r w:rsidRPr="00CD1FE8">
        <w:rPr>
          <w:color w:val="000000" w:themeColor="text1"/>
          <w:szCs w:val="24"/>
          <w:lang w:val="en-US" w:bidi="en-US"/>
        </w:rPr>
        <w:t>Hasanrabba</w:t>
      </w:r>
      <w:proofErr w:type="spellEnd"/>
      <w:r w:rsidRPr="00CD1FE8">
        <w:rPr>
          <w:color w:val="000000" w:themeColor="text1"/>
          <w:szCs w:val="24"/>
          <w:lang w:val="en-US" w:bidi="en-US"/>
        </w:rPr>
        <w:t xml:space="preserve"> S. Treatment of perforated giant gastric ulcer in an emergency setting. World J </w:t>
      </w:r>
      <w:proofErr w:type="spellStart"/>
      <w:r w:rsidRPr="00CD1FE8">
        <w:rPr>
          <w:color w:val="000000" w:themeColor="text1"/>
          <w:szCs w:val="24"/>
          <w:lang w:val="en-US" w:bidi="en-US"/>
        </w:rPr>
        <w:t>Gastrointest</w:t>
      </w:r>
      <w:proofErr w:type="spellEnd"/>
      <w:r w:rsidRPr="00CD1FE8">
        <w:rPr>
          <w:color w:val="000000" w:themeColor="text1"/>
          <w:szCs w:val="24"/>
          <w:lang w:val="en-US" w:bidi="en-US"/>
        </w:rPr>
        <w:t xml:space="preserve"> Surg. 2014;6(1):5-8. doi:10.4240/</w:t>
      </w:r>
      <w:proofErr w:type="gramStart"/>
      <w:r w:rsidRPr="00CD1FE8">
        <w:rPr>
          <w:color w:val="000000" w:themeColor="text1"/>
          <w:szCs w:val="24"/>
          <w:lang w:val="en-US" w:bidi="en-US"/>
        </w:rPr>
        <w:t>wjgs.v</w:t>
      </w:r>
      <w:proofErr w:type="gramEnd"/>
      <w:r w:rsidRPr="00CD1FE8">
        <w:rPr>
          <w:color w:val="000000" w:themeColor="text1"/>
          <w:szCs w:val="24"/>
          <w:lang w:val="en-US" w:bidi="en-US"/>
        </w:rPr>
        <w:t>6.i1.5</w:t>
      </w:r>
      <w:r w:rsidR="00212E30" w:rsidRPr="00CD1FE8">
        <w:rPr>
          <w:color w:val="000000" w:themeColor="text1"/>
          <w:szCs w:val="24"/>
          <w:lang w:val="en-US" w:bidi="en-US"/>
        </w:rPr>
        <w:t>.</w:t>
      </w:r>
    </w:p>
    <w:p w14:paraId="4121837C" w14:textId="77777777" w:rsidR="00672EBA" w:rsidRPr="00672EBA" w:rsidRDefault="00CD1FE8" w:rsidP="00672EB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proofErr w:type="spellStart"/>
      <w:r w:rsidRPr="00CD1FE8">
        <w:rPr>
          <w:color w:val="000000" w:themeColor="text1"/>
          <w:szCs w:val="24"/>
          <w:lang w:val="en-US" w:bidi="en-US"/>
        </w:rPr>
        <w:t>Tanphiphat</w:t>
      </w:r>
      <w:proofErr w:type="spellEnd"/>
      <w:r w:rsidRPr="00CD1FE8">
        <w:rPr>
          <w:color w:val="000000" w:themeColor="text1"/>
          <w:szCs w:val="24"/>
          <w:lang w:val="en-US" w:bidi="en-US"/>
        </w:rPr>
        <w:t xml:space="preserve"> C, </w:t>
      </w:r>
      <w:proofErr w:type="spellStart"/>
      <w:r w:rsidRPr="00CD1FE8">
        <w:rPr>
          <w:color w:val="000000" w:themeColor="text1"/>
          <w:szCs w:val="24"/>
          <w:lang w:val="en-US" w:bidi="en-US"/>
        </w:rPr>
        <w:t>Tanprayoon</w:t>
      </w:r>
      <w:proofErr w:type="spellEnd"/>
      <w:r w:rsidRPr="00CD1FE8">
        <w:rPr>
          <w:color w:val="000000" w:themeColor="text1"/>
          <w:szCs w:val="24"/>
          <w:lang w:val="en-US" w:bidi="en-US"/>
        </w:rPr>
        <w:t xml:space="preserve"> T, Na Thalang A. Surgical treatment of perforated duodenal ulcer: a prospective trial between simple closure and definitive surgery. Br J Surg. 1985;72(5):370-372. doi:10.1002/bjs.1800720513</w:t>
      </w:r>
      <w:r w:rsidRPr="00CD1FE8">
        <w:rPr>
          <w:color w:val="000000" w:themeColor="text1"/>
          <w:szCs w:val="24"/>
          <w:lang w:bidi="en-US"/>
        </w:rPr>
        <w:t>.</w:t>
      </w:r>
    </w:p>
    <w:p w14:paraId="7C81EF0A" w14:textId="77777777" w:rsidR="00733499" w:rsidRPr="00733499" w:rsidRDefault="00672EBA" w:rsidP="0073349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672EBA">
        <w:rPr>
          <w:color w:val="000000" w:themeColor="text1"/>
          <w:szCs w:val="24"/>
          <w:lang w:val="en-US" w:bidi="en-US"/>
        </w:rPr>
        <w:t xml:space="preserve">Christiansen J, Andersen OB, Bonnesen T, </w:t>
      </w:r>
      <w:proofErr w:type="spellStart"/>
      <w:r w:rsidRPr="00672EBA">
        <w:rPr>
          <w:color w:val="000000" w:themeColor="text1"/>
          <w:szCs w:val="24"/>
          <w:lang w:val="en-US" w:bidi="en-US"/>
        </w:rPr>
        <w:t>Baekgaard</w:t>
      </w:r>
      <w:proofErr w:type="spellEnd"/>
      <w:r w:rsidRPr="00672EBA">
        <w:rPr>
          <w:color w:val="000000" w:themeColor="text1"/>
          <w:szCs w:val="24"/>
          <w:lang w:val="en-US" w:bidi="en-US"/>
        </w:rPr>
        <w:t xml:space="preserve"> N. Perforated duodenal ulcer managed by simple closure versus closure and proximal gastric vagotomy. Br J Surg. 1987;74(4):286-287. doi:10.1002/bjs.1800740420</w:t>
      </w:r>
      <w:r w:rsidRPr="00672EBA">
        <w:rPr>
          <w:color w:val="000000" w:themeColor="text1"/>
          <w:szCs w:val="24"/>
          <w:lang w:bidi="en-US"/>
        </w:rPr>
        <w:t>.</w:t>
      </w:r>
    </w:p>
    <w:p w14:paraId="23041911" w14:textId="77777777" w:rsidR="00733499" w:rsidRPr="00733499" w:rsidRDefault="00733499" w:rsidP="0073349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733499">
        <w:rPr>
          <w:color w:val="000000" w:themeColor="text1"/>
          <w:szCs w:val="24"/>
          <w:lang w:val="en-US" w:bidi="en-US"/>
        </w:rPr>
        <w:t xml:space="preserve">Boey J, </w:t>
      </w:r>
      <w:proofErr w:type="spellStart"/>
      <w:r w:rsidRPr="00733499">
        <w:rPr>
          <w:color w:val="000000" w:themeColor="text1"/>
          <w:szCs w:val="24"/>
          <w:lang w:val="en-US" w:bidi="en-US"/>
        </w:rPr>
        <w:t>Branicki</w:t>
      </w:r>
      <w:proofErr w:type="spellEnd"/>
      <w:r w:rsidRPr="00733499">
        <w:rPr>
          <w:color w:val="000000" w:themeColor="text1"/>
          <w:szCs w:val="24"/>
          <w:lang w:val="en-US" w:bidi="en-US"/>
        </w:rPr>
        <w:t xml:space="preserve"> FJ, </w:t>
      </w:r>
      <w:proofErr w:type="spellStart"/>
      <w:r w:rsidRPr="00733499">
        <w:rPr>
          <w:color w:val="000000" w:themeColor="text1"/>
          <w:szCs w:val="24"/>
          <w:lang w:val="en-US" w:bidi="en-US"/>
        </w:rPr>
        <w:t>Alagaratnam</w:t>
      </w:r>
      <w:proofErr w:type="spellEnd"/>
      <w:r w:rsidRPr="00733499">
        <w:rPr>
          <w:color w:val="000000" w:themeColor="text1"/>
          <w:szCs w:val="24"/>
          <w:lang w:val="en-US" w:bidi="en-US"/>
        </w:rPr>
        <w:t xml:space="preserve"> TT, et al. Proximal gastric vagotomy. The preferred operation for perforations in acute duodenal ulcer. Ann Surg. 1988;208(2):169-174. doi:10.1097/00000658-198808000-00006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02E3389E" w14:textId="77777777" w:rsidR="00046869" w:rsidRPr="00046869" w:rsidRDefault="00733499" w:rsidP="0004686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733499">
        <w:rPr>
          <w:color w:val="000000" w:themeColor="text1"/>
          <w:szCs w:val="24"/>
          <w:lang w:val="en-US" w:bidi="en-US"/>
        </w:rPr>
        <w:t xml:space="preserve">Hay JM, </w:t>
      </w:r>
      <w:proofErr w:type="spellStart"/>
      <w:r w:rsidRPr="00733499">
        <w:rPr>
          <w:color w:val="000000" w:themeColor="text1"/>
          <w:szCs w:val="24"/>
          <w:lang w:val="en-US" w:bidi="en-US"/>
        </w:rPr>
        <w:t>Lacaine</w:t>
      </w:r>
      <w:proofErr w:type="spellEnd"/>
      <w:r w:rsidRPr="00733499">
        <w:rPr>
          <w:color w:val="000000" w:themeColor="text1"/>
          <w:szCs w:val="24"/>
          <w:lang w:val="en-US" w:bidi="en-US"/>
        </w:rPr>
        <w:t xml:space="preserve"> F, Kohlmann G, Fingerhut A. Immediate definitive surgery for perforated duodenal ulcer does not increase operative mortality: a prospective controlled trial. World J Surg. 1988;12(5):705-709. doi:10.1007/BF01655894</w:t>
      </w:r>
      <w:r w:rsidRPr="00733499">
        <w:rPr>
          <w:color w:val="000000" w:themeColor="text1"/>
          <w:szCs w:val="24"/>
          <w:lang w:bidi="en-US"/>
        </w:rPr>
        <w:t>.</w:t>
      </w:r>
    </w:p>
    <w:p w14:paraId="7BF28C72" w14:textId="77777777" w:rsidR="00046869" w:rsidRPr="00046869" w:rsidRDefault="00046869" w:rsidP="00046869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046869">
        <w:rPr>
          <w:color w:val="000000" w:themeColor="text1"/>
          <w:szCs w:val="24"/>
          <w:lang w:val="en-US" w:bidi="en-US"/>
        </w:rPr>
        <w:t xml:space="preserve">Fernández Dovale M, </w:t>
      </w:r>
      <w:proofErr w:type="spellStart"/>
      <w:r w:rsidRPr="00046869">
        <w:rPr>
          <w:color w:val="000000" w:themeColor="text1"/>
          <w:szCs w:val="24"/>
          <w:lang w:val="en-US" w:bidi="en-US"/>
        </w:rPr>
        <w:t>Docobo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Durántez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F, Lozano </w:t>
      </w:r>
      <w:proofErr w:type="spellStart"/>
      <w:r w:rsidRPr="00046869">
        <w:rPr>
          <w:color w:val="000000" w:themeColor="text1"/>
          <w:szCs w:val="24"/>
          <w:lang w:val="en-US" w:bidi="en-US"/>
        </w:rPr>
        <w:t>Crivell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M, Del Alamo </w:t>
      </w:r>
      <w:proofErr w:type="spellStart"/>
      <w:r w:rsidRPr="00046869">
        <w:rPr>
          <w:color w:val="000000" w:themeColor="text1"/>
          <w:szCs w:val="24"/>
          <w:lang w:val="en-US" w:bidi="en-US"/>
        </w:rPr>
        <w:t>Juzgado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C, Fernández Martín M. La </w:t>
      </w:r>
      <w:proofErr w:type="spellStart"/>
      <w:r w:rsidRPr="00046869">
        <w:rPr>
          <w:color w:val="000000" w:themeColor="text1"/>
          <w:szCs w:val="24"/>
          <w:lang w:val="en-US" w:bidi="en-US"/>
        </w:rPr>
        <w:t>vagotomía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de </w:t>
      </w:r>
      <w:proofErr w:type="spellStart"/>
      <w:r w:rsidRPr="00046869">
        <w:rPr>
          <w:color w:val="000000" w:themeColor="text1"/>
          <w:szCs w:val="24"/>
          <w:lang w:val="en-US" w:bidi="en-US"/>
        </w:rPr>
        <w:t>células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oxínticas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asociada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al </w:t>
      </w:r>
      <w:proofErr w:type="spellStart"/>
      <w:r w:rsidRPr="00046869">
        <w:rPr>
          <w:color w:val="000000" w:themeColor="text1"/>
          <w:szCs w:val="24"/>
          <w:lang w:val="en-US" w:bidi="en-US"/>
        </w:rPr>
        <w:t>cierre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simple </w:t>
      </w:r>
      <w:proofErr w:type="spellStart"/>
      <w:r w:rsidRPr="00046869">
        <w:rPr>
          <w:color w:val="000000" w:themeColor="text1"/>
          <w:szCs w:val="24"/>
          <w:lang w:val="en-US" w:bidi="en-US"/>
        </w:rPr>
        <w:t>como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tratamiento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quirúrgico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del </w:t>
      </w:r>
      <w:proofErr w:type="spellStart"/>
      <w:r w:rsidRPr="00046869">
        <w:rPr>
          <w:color w:val="000000" w:themeColor="text1"/>
          <w:szCs w:val="24"/>
          <w:lang w:val="en-US" w:bidi="en-US"/>
        </w:rPr>
        <w:t>ulcus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duodenal </w:t>
      </w:r>
      <w:proofErr w:type="spellStart"/>
      <w:r w:rsidRPr="00046869">
        <w:rPr>
          <w:color w:val="000000" w:themeColor="text1"/>
          <w:szCs w:val="24"/>
          <w:lang w:val="en-US" w:bidi="en-US"/>
        </w:rPr>
        <w:t>perforado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. </w:t>
      </w:r>
      <w:proofErr w:type="spellStart"/>
      <w:r w:rsidRPr="00046869">
        <w:rPr>
          <w:color w:val="000000" w:themeColor="text1"/>
          <w:szCs w:val="24"/>
          <w:lang w:val="en-US" w:bidi="en-US"/>
        </w:rPr>
        <w:t>Estudio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comparativo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con </w:t>
      </w:r>
      <w:proofErr w:type="spellStart"/>
      <w:r w:rsidRPr="00046869">
        <w:rPr>
          <w:color w:val="000000" w:themeColor="text1"/>
          <w:szCs w:val="24"/>
          <w:lang w:val="en-US" w:bidi="en-US"/>
        </w:rPr>
        <w:t>el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cierre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simple </w:t>
      </w:r>
      <w:proofErr w:type="spellStart"/>
      <w:r w:rsidRPr="00046869">
        <w:rPr>
          <w:color w:val="000000" w:themeColor="text1"/>
          <w:szCs w:val="24"/>
          <w:lang w:val="en-US" w:bidi="en-US"/>
        </w:rPr>
        <w:t>sólo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[Vagotomy of the oxyntic cells associated with simple closing as surgical treatment of perforated duodenal ulcer. A comparative study with simple closing alone]. Rev </w:t>
      </w:r>
      <w:proofErr w:type="spellStart"/>
      <w:r w:rsidRPr="00046869">
        <w:rPr>
          <w:color w:val="000000" w:themeColor="text1"/>
          <w:szCs w:val="24"/>
          <w:lang w:val="en-US" w:bidi="en-US"/>
        </w:rPr>
        <w:t>Esp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046869">
        <w:rPr>
          <w:color w:val="000000" w:themeColor="text1"/>
          <w:szCs w:val="24"/>
          <w:lang w:val="en-US" w:bidi="en-US"/>
        </w:rPr>
        <w:t>Enferm</w:t>
      </w:r>
      <w:proofErr w:type="spellEnd"/>
      <w:r w:rsidRPr="00046869">
        <w:rPr>
          <w:color w:val="000000" w:themeColor="text1"/>
          <w:szCs w:val="24"/>
          <w:lang w:val="en-US" w:bidi="en-US"/>
        </w:rPr>
        <w:t xml:space="preserve"> Apar Dig. 1989;76(6 Pt 1):529-534.</w:t>
      </w:r>
    </w:p>
    <w:p w14:paraId="0520E7AB" w14:textId="77777777" w:rsidR="000B5DE0" w:rsidRPr="000B5DE0" w:rsidRDefault="00046869" w:rsidP="000B5DE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046869">
        <w:rPr>
          <w:color w:val="000000" w:themeColor="text1"/>
          <w:szCs w:val="24"/>
          <w:lang w:val="en-US" w:bidi="en-US"/>
        </w:rPr>
        <w:lastRenderedPageBreak/>
        <w:t>Gutiérrez de la Peña C, Márquez R, Fakih F, Domínguez-Adame E, Medina J. Simple closure or vagotomy and pyloroplasty for the treatment of a perforated duodenal ulcer: comparison of results. Dig Surg. 2000;17(3):225-228. doi:10.1159/000018839</w:t>
      </w:r>
      <w:r w:rsidRPr="00046869">
        <w:rPr>
          <w:color w:val="000000" w:themeColor="text1"/>
          <w:szCs w:val="24"/>
          <w:lang w:bidi="en-US"/>
        </w:rPr>
        <w:t>.</w:t>
      </w:r>
    </w:p>
    <w:p w14:paraId="2EF8B8A3" w14:textId="465AF61D" w:rsidR="000B5DE0" w:rsidRPr="000B5DE0" w:rsidRDefault="000B5DE0" w:rsidP="000B5DE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B554D1">
        <w:rPr>
          <w:color w:val="000000" w:themeColor="text1"/>
          <w:szCs w:val="24"/>
          <w:lang w:val="en-US" w:bidi="en-US"/>
        </w:rPr>
        <w:t>Ng EK, Lam YH, Sung JJ, et al. Eradication of Helicobacter pylori prevents recurrence of ulcer after simple closure of duodenal ulcer perforation: randomized controlled trial. </w:t>
      </w:r>
      <w:r w:rsidRPr="009352B1">
        <w:rPr>
          <w:color w:val="000000" w:themeColor="text1"/>
          <w:szCs w:val="24"/>
          <w:lang w:val="en-US" w:bidi="en-US"/>
        </w:rPr>
        <w:t>Ann Surg. 2000;231(2):153-158. doi:10.1097/00000658-200002000-00001</w:t>
      </w:r>
      <w:r w:rsidR="00F67F34" w:rsidRPr="009352B1">
        <w:rPr>
          <w:color w:val="000000" w:themeColor="text1"/>
          <w:szCs w:val="24"/>
          <w:lang w:val="en-US" w:bidi="en-US"/>
        </w:rPr>
        <w:t>.</w:t>
      </w:r>
    </w:p>
    <w:p w14:paraId="0DB7F131" w14:textId="77777777" w:rsidR="00B02EC1" w:rsidRPr="00B554D1" w:rsidRDefault="00212E30" w:rsidP="00B02EC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bidi="en-US"/>
        </w:rPr>
      </w:pPr>
      <w:r w:rsidRPr="00B02EC1">
        <w:rPr>
          <w:color w:val="000000" w:themeColor="text1"/>
          <w:szCs w:val="24"/>
        </w:rPr>
        <w:t>Клинические</w:t>
      </w:r>
      <w:r w:rsidR="00B7500F" w:rsidRPr="00B02EC1">
        <w:rPr>
          <w:color w:val="000000" w:themeColor="text1"/>
          <w:szCs w:val="24"/>
        </w:rPr>
        <w:t xml:space="preserve"> </w:t>
      </w:r>
      <w:proofErr w:type="gramStart"/>
      <w:r w:rsidR="00B7500F" w:rsidRPr="00B02EC1">
        <w:rPr>
          <w:color w:val="000000" w:themeColor="text1"/>
          <w:szCs w:val="24"/>
        </w:rPr>
        <w:t>р</w:t>
      </w:r>
      <w:r w:rsidRPr="00B02EC1">
        <w:rPr>
          <w:color w:val="000000" w:themeColor="text1"/>
          <w:szCs w:val="24"/>
        </w:rPr>
        <w:t>екомендации</w:t>
      </w:r>
      <w:r w:rsidR="00B7500F" w:rsidRPr="00B02EC1">
        <w:rPr>
          <w:color w:val="000000" w:themeColor="text1"/>
          <w:szCs w:val="24"/>
        </w:rPr>
        <w:t xml:space="preserve">  </w:t>
      </w:r>
      <w:r w:rsidRPr="00B02EC1">
        <w:rPr>
          <w:color w:val="000000" w:themeColor="text1"/>
          <w:szCs w:val="24"/>
        </w:rPr>
        <w:t>«</w:t>
      </w:r>
      <w:proofErr w:type="gramEnd"/>
      <w:r w:rsidRPr="00B02EC1">
        <w:rPr>
          <w:color w:val="000000" w:themeColor="text1"/>
          <w:szCs w:val="24"/>
        </w:rPr>
        <w:t>Язвенная</w:t>
      </w:r>
      <w:r w:rsidR="00B7500F" w:rsidRPr="00B02EC1">
        <w:rPr>
          <w:color w:val="000000" w:themeColor="text1"/>
          <w:szCs w:val="24"/>
        </w:rPr>
        <w:t xml:space="preserve"> </w:t>
      </w:r>
      <w:r w:rsidRPr="00B02EC1">
        <w:rPr>
          <w:color w:val="000000" w:themeColor="text1"/>
          <w:szCs w:val="24"/>
        </w:rPr>
        <w:t>болезнь»</w:t>
      </w:r>
      <w:r w:rsidR="00B7500F" w:rsidRPr="00B02EC1">
        <w:rPr>
          <w:color w:val="000000" w:themeColor="text1"/>
          <w:szCs w:val="24"/>
        </w:rPr>
        <w:t xml:space="preserve">. </w:t>
      </w:r>
      <w:hyperlink r:id="rId12" w:anchor="!/schema/794" w:history="1">
        <w:r w:rsidR="00F830BF" w:rsidRPr="00B02EC1">
          <w:rPr>
            <w:rStyle w:val="af0"/>
            <w:szCs w:val="24"/>
            <w:lang w:val="en-US"/>
          </w:rPr>
          <w:t>http</w:t>
        </w:r>
        <w:r w:rsidR="00F830BF" w:rsidRPr="00B02EC1">
          <w:rPr>
            <w:rStyle w:val="af0"/>
            <w:szCs w:val="24"/>
          </w:rPr>
          <w:t>://</w:t>
        </w:r>
        <w:proofErr w:type="spellStart"/>
        <w:r w:rsidR="00F830BF" w:rsidRPr="00B02EC1">
          <w:rPr>
            <w:rStyle w:val="af0"/>
            <w:szCs w:val="24"/>
            <w:lang w:val="en-US"/>
          </w:rPr>
          <w:t>cr</w:t>
        </w:r>
        <w:proofErr w:type="spellEnd"/>
        <w:r w:rsidR="00F830BF" w:rsidRPr="00B02EC1">
          <w:rPr>
            <w:rStyle w:val="af0"/>
            <w:szCs w:val="24"/>
          </w:rPr>
          <w:t>.</w:t>
        </w:r>
        <w:proofErr w:type="spellStart"/>
        <w:r w:rsidR="00F830BF" w:rsidRPr="00B02EC1">
          <w:rPr>
            <w:rStyle w:val="af0"/>
            <w:szCs w:val="24"/>
            <w:lang w:val="en-US"/>
          </w:rPr>
          <w:t>rosminzdrav</w:t>
        </w:r>
        <w:proofErr w:type="spellEnd"/>
        <w:r w:rsidR="00F830BF" w:rsidRPr="00B02EC1">
          <w:rPr>
            <w:rStyle w:val="af0"/>
            <w:szCs w:val="24"/>
          </w:rPr>
          <w:t>,</w:t>
        </w:r>
        <w:proofErr w:type="spellStart"/>
        <w:r w:rsidR="00F830BF" w:rsidRPr="00B02EC1">
          <w:rPr>
            <w:rStyle w:val="af0"/>
            <w:szCs w:val="24"/>
            <w:lang w:val="en-US"/>
          </w:rPr>
          <w:t>ru</w:t>
        </w:r>
        <w:proofErr w:type="spellEnd"/>
        <w:r w:rsidR="00F830BF" w:rsidRPr="00B02EC1">
          <w:rPr>
            <w:rStyle w:val="af0"/>
            <w:szCs w:val="24"/>
          </w:rPr>
          <w:t>/#!/</w:t>
        </w:r>
        <w:r w:rsidR="00F830BF" w:rsidRPr="00B02EC1">
          <w:rPr>
            <w:rStyle w:val="af0"/>
            <w:szCs w:val="24"/>
            <w:lang w:val="en-US"/>
          </w:rPr>
          <w:t>schema</w:t>
        </w:r>
        <w:r w:rsidR="00F830BF" w:rsidRPr="00B02EC1">
          <w:rPr>
            <w:rStyle w:val="af0"/>
            <w:szCs w:val="24"/>
          </w:rPr>
          <w:t>/794</w:t>
        </w:r>
      </w:hyperlink>
      <w:r w:rsidR="00F830BF" w:rsidRPr="00B02EC1">
        <w:rPr>
          <w:color w:val="000000" w:themeColor="text1"/>
          <w:szCs w:val="24"/>
        </w:rPr>
        <w:t xml:space="preserve"> </w:t>
      </w:r>
    </w:p>
    <w:p w14:paraId="5B5AC258" w14:textId="77777777" w:rsidR="002C725B" w:rsidRPr="002C725B" w:rsidRDefault="00B02EC1" w:rsidP="002C725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B02EC1">
        <w:rPr>
          <w:bCs/>
          <w:color w:val="000000" w:themeColor="text1"/>
          <w:lang w:val="en-US" w:bidi="en-US"/>
        </w:rPr>
        <w:t>Liu CC, Lee CL, Chan CC, et al. Maintenance treatment is not necessary after Helicobacter pylori eradication and healing of bleeding peptic ulcer: a 5-year prospective, randomized, controlled study. Arch Intern Med. 2003;163(17):2020-2024. doi:10.1001/archinte.163.17.2020</w:t>
      </w:r>
      <w:r w:rsidRPr="009352B1">
        <w:rPr>
          <w:bCs/>
          <w:color w:val="000000" w:themeColor="text1"/>
          <w:lang w:val="en-US" w:bidi="en-US"/>
        </w:rPr>
        <w:t>.</w:t>
      </w:r>
    </w:p>
    <w:p w14:paraId="27CC7974" w14:textId="77777777" w:rsidR="002C725B" w:rsidRPr="002C725B" w:rsidRDefault="002C725B" w:rsidP="002C725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2C725B">
        <w:rPr>
          <w:color w:val="000000" w:themeColor="text1"/>
          <w:szCs w:val="24"/>
          <w:lang w:val="en-US" w:bidi="en-US"/>
        </w:rPr>
        <w:t>El-</w:t>
      </w:r>
      <w:proofErr w:type="spellStart"/>
      <w:r w:rsidRPr="002C725B">
        <w:rPr>
          <w:color w:val="000000" w:themeColor="text1"/>
          <w:szCs w:val="24"/>
          <w:lang w:val="en-US" w:bidi="en-US"/>
        </w:rPr>
        <w:t>Nakeeb</w:t>
      </w:r>
      <w:proofErr w:type="spellEnd"/>
      <w:r w:rsidRPr="002C725B">
        <w:rPr>
          <w:color w:val="000000" w:themeColor="text1"/>
          <w:szCs w:val="24"/>
          <w:lang w:val="en-US" w:bidi="en-US"/>
        </w:rPr>
        <w:t xml:space="preserve"> A, Fikry A, Abd El-Hamed TM, et al. Effect of Helicobacter pylori eradication on ulcer recurrence after simple closure of perforated duodenal ulcer. Int J Surg. 2009;7(2):126-129. </w:t>
      </w:r>
      <w:proofErr w:type="gramStart"/>
      <w:r w:rsidRPr="002C725B">
        <w:rPr>
          <w:color w:val="000000" w:themeColor="text1"/>
          <w:szCs w:val="24"/>
          <w:lang w:val="en-US" w:bidi="en-US"/>
        </w:rPr>
        <w:t>doi:10.1016/j.ijsu</w:t>
      </w:r>
      <w:proofErr w:type="gramEnd"/>
      <w:r w:rsidRPr="002C725B">
        <w:rPr>
          <w:color w:val="000000" w:themeColor="text1"/>
          <w:szCs w:val="24"/>
          <w:lang w:val="en-US" w:bidi="en-US"/>
        </w:rPr>
        <w:t>.2008.12.001</w:t>
      </w:r>
      <w:r w:rsidRPr="00D92AE8">
        <w:rPr>
          <w:color w:val="000000" w:themeColor="text1"/>
          <w:szCs w:val="24"/>
          <w:lang w:val="en-US" w:bidi="en-US"/>
        </w:rPr>
        <w:t>.</w:t>
      </w:r>
    </w:p>
    <w:p w14:paraId="3C13B5D8" w14:textId="77777777" w:rsidR="00A65BAE" w:rsidRPr="00A65BAE" w:rsidRDefault="002C725B" w:rsidP="00A65BA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proofErr w:type="spellStart"/>
      <w:r w:rsidRPr="002C725B">
        <w:rPr>
          <w:bCs/>
          <w:color w:val="000000" w:themeColor="text1"/>
          <w:lang w:val="en-US" w:bidi="en-US"/>
        </w:rPr>
        <w:t>Valooran</w:t>
      </w:r>
      <w:proofErr w:type="spellEnd"/>
      <w:r w:rsidRPr="002C725B">
        <w:rPr>
          <w:bCs/>
          <w:color w:val="000000" w:themeColor="text1"/>
          <w:lang w:val="en-US" w:bidi="en-US"/>
        </w:rPr>
        <w:t xml:space="preserve"> GJ, Kate V, Jagdish S, Basu D. Sequential therapy versus standard triple drug therapy for eradication of Helicobacter pylori in patients with perforated duodenal ulcer following simple closure. Scand J Gastroenterol. 2011;46(9):1045-1050. doi:10.3109/00365521.2011.584894.</w:t>
      </w:r>
    </w:p>
    <w:p w14:paraId="52214DC3" w14:textId="77777777" w:rsidR="00A65BAE" w:rsidRPr="00A65BAE" w:rsidRDefault="00A65BAE" w:rsidP="00A65BA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A65BAE">
        <w:rPr>
          <w:color w:val="000000" w:themeColor="text1"/>
          <w:szCs w:val="24"/>
          <w:lang w:val="en-US" w:bidi="en-US"/>
        </w:rPr>
        <w:t>Das R, Sureshkumar S, Sreenath GS, Kate V. Sequential versus concomitant therapy for eradication of Helicobacter Pylori in patients with perforated duodenal ulcer: A randomized trial. Saudi J Gastroenterol. 2016;22(4):309-315. doi:10.4103/1319-3767.187605</w:t>
      </w:r>
      <w:r w:rsidRPr="00A65BAE">
        <w:rPr>
          <w:color w:val="000000" w:themeColor="text1"/>
          <w:szCs w:val="24"/>
          <w:lang w:bidi="en-US"/>
        </w:rPr>
        <w:t>.</w:t>
      </w:r>
      <w:r w:rsidR="00866E81" w:rsidRPr="00A65BAE">
        <w:rPr>
          <w:bCs/>
          <w:color w:val="000000" w:themeColor="text1"/>
          <w:lang w:val="en-US" w:bidi="en-US"/>
        </w:rPr>
        <w:t xml:space="preserve">              </w:t>
      </w:r>
    </w:p>
    <w:p w14:paraId="54C0C550" w14:textId="77777777" w:rsidR="002C7938" w:rsidRPr="002C7938" w:rsidRDefault="00A65BAE" w:rsidP="002C793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A65BAE">
        <w:rPr>
          <w:bCs/>
          <w:color w:val="000000" w:themeColor="text1"/>
          <w:lang w:val="en-US" w:bidi="en-US"/>
        </w:rPr>
        <w:t xml:space="preserve">Pohl H, Finlayson SR, Sonnenberg A, Robertson DJ. Helicobacter pylori-associated ulcer bleeding: should we test for eradication after treatment? Aliment </w:t>
      </w:r>
      <w:proofErr w:type="spellStart"/>
      <w:r w:rsidRPr="00A65BAE">
        <w:rPr>
          <w:bCs/>
          <w:color w:val="000000" w:themeColor="text1"/>
          <w:lang w:val="en-US" w:bidi="en-US"/>
        </w:rPr>
        <w:t>Pharmacol</w:t>
      </w:r>
      <w:proofErr w:type="spellEnd"/>
      <w:r w:rsidRPr="00A65BAE">
        <w:rPr>
          <w:bCs/>
          <w:color w:val="000000" w:themeColor="text1"/>
          <w:lang w:val="en-US" w:bidi="en-US"/>
        </w:rPr>
        <w:t xml:space="preserve"> Ther. 2005;22(6):529-537. doi:10.1111/j.1365-2036.2005.</w:t>
      </w:r>
      <w:proofErr w:type="gramStart"/>
      <w:r w:rsidRPr="00A65BAE">
        <w:rPr>
          <w:bCs/>
          <w:color w:val="000000" w:themeColor="text1"/>
          <w:lang w:val="en-US" w:bidi="en-US"/>
        </w:rPr>
        <w:t>02569.x</w:t>
      </w:r>
      <w:r w:rsidRPr="00A65BAE">
        <w:rPr>
          <w:color w:val="000000" w:themeColor="text1"/>
          <w:szCs w:val="24"/>
          <w:lang w:bidi="en-US"/>
        </w:rPr>
        <w:t>.</w:t>
      </w:r>
      <w:proofErr w:type="gramEnd"/>
    </w:p>
    <w:p w14:paraId="6919B0B4" w14:textId="77777777" w:rsidR="0036548A" w:rsidRPr="0036548A" w:rsidRDefault="002C7938" w:rsidP="0036548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proofErr w:type="spellStart"/>
      <w:r w:rsidRPr="002C7938">
        <w:rPr>
          <w:color w:val="000000" w:themeColor="text1"/>
          <w:szCs w:val="24"/>
          <w:lang w:val="en-US" w:bidi="en-US"/>
        </w:rPr>
        <w:t>Tomtitchong</w:t>
      </w:r>
      <w:proofErr w:type="spellEnd"/>
      <w:r w:rsidRPr="002C7938">
        <w:rPr>
          <w:color w:val="000000" w:themeColor="text1"/>
          <w:szCs w:val="24"/>
          <w:lang w:val="en-US" w:bidi="en-US"/>
        </w:rPr>
        <w:t xml:space="preserve"> P, </w:t>
      </w:r>
      <w:proofErr w:type="spellStart"/>
      <w:r w:rsidRPr="002C7938">
        <w:rPr>
          <w:color w:val="000000" w:themeColor="text1"/>
          <w:szCs w:val="24"/>
          <w:lang w:val="en-US" w:bidi="en-US"/>
        </w:rPr>
        <w:t>Siribumrungwong</w:t>
      </w:r>
      <w:proofErr w:type="spellEnd"/>
      <w:r w:rsidRPr="002C7938">
        <w:rPr>
          <w:color w:val="000000" w:themeColor="text1"/>
          <w:szCs w:val="24"/>
          <w:lang w:val="en-US" w:bidi="en-US"/>
        </w:rPr>
        <w:t xml:space="preserve"> B, </w:t>
      </w:r>
      <w:proofErr w:type="spellStart"/>
      <w:r w:rsidRPr="002C7938">
        <w:rPr>
          <w:color w:val="000000" w:themeColor="text1"/>
          <w:szCs w:val="24"/>
          <w:lang w:val="en-US" w:bidi="en-US"/>
        </w:rPr>
        <w:t>Vilaichone</w:t>
      </w:r>
      <w:proofErr w:type="spellEnd"/>
      <w:r w:rsidRPr="002C7938">
        <w:rPr>
          <w:color w:val="000000" w:themeColor="text1"/>
          <w:szCs w:val="24"/>
          <w:lang w:val="en-US" w:bidi="en-US"/>
        </w:rPr>
        <w:t xml:space="preserve"> RK, </w:t>
      </w:r>
      <w:proofErr w:type="spellStart"/>
      <w:r w:rsidRPr="002C7938">
        <w:rPr>
          <w:color w:val="000000" w:themeColor="text1"/>
          <w:szCs w:val="24"/>
          <w:lang w:val="en-US" w:bidi="en-US"/>
        </w:rPr>
        <w:t>Kasetsuwan</w:t>
      </w:r>
      <w:proofErr w:type="spellEnd"/>
      <w:r w:rsidRPr="002C7938">
        <w:rPr>
          <w:color w:val="000000" w:themeColor="text1"/>
          <w:szCs w:val="24"/>
          <w:lang w:val="en-US" w:bidi="en-US"/>
        </w:rPr>
        <w:t xml:space="preserve"> P, </w:t>
      </w:r>
      <w:proofErr w:type="spellStart"/>
      <w:r w:rsidRPr="002C7938">
        <w:rPr>
          <w:color w:val="000000" w:themeColor="text1"/>
          <w:szCs w:val="24"/>
          <w:lang w:val="en-US" w:bidi="en-US"/>
        </w:rPr>
        <w:t>Matsukura</w:t>
      </w:r>
      <w:proofErr w:type="spellEnd"/>
      <w:r w:rsidRPr="002C7938">
        <w:rPr>
          <w:color w:val="000000" w:themeColor="text1"/>
          <w:szCs w:val="24"/>
          <w:lang w:val="en-US" w:bidi="en-US"/>
        </w:rPr>
        <w:t xml:space="preserve"> N, </w:t>
      </w:r>
      <w:proofErr w:type="spellStart"/>
      <w:r w:rsidRPr="002C7938">
        <w:rPr>
          <w:color w:val="000000" w:themeColor="text1"/>
          <w:szCs w:val="24"/>
          <w:lang w:val="en-US" w:bidi="en-US"/>
        </w:rPr>
        <w:t>Chaiyakunapruk</w:t>
      </w:r>
      <w:proofErr w:type="spellEnd"/>
      <w:r w:rsidRPr="002C7938">
        <w:rPr>
          <w:color w:val="000000" w:themeColor="text1"/>
          <w:szCs w:val="24"/>
          <w:lang w:val="en-US" w:bidi="en-US"/>
        </w:rPr>
        <w:t xml:space="preserve"> N. Systematic review and meta-analysis: Helicobacter pylori eradication therapy after simple closure of perforated duodenal ulcer. Helicobacter. 2012;17(2):148-152. doi:10.1111/j.1523-5378.2011.</w:t>
      </w:r>
      <w:proofErr w:type="gramStart"/>
      <w:r w:rsidRPr="002C7938">
        <w:rPr>
          <w:color w:val="000000" w:themeColor="text1"/>
          <w:szCs w:val="24"/>
          <w:lang w:val="en-US" w:bidi="en-US"/>
        </w:rPr>
        <w:t>00928.x</w:t>
      </w:r>
      <w:r w:rsidRPr="002C7938">
        <w:rPr>
          <w:color w:val="000000" w:themeColor="text1"/>
          <w:szCs w:val="24"/>
          <w:lang w:bidi="en-US"/>
        </w:rPr>
        <w:t>.</w:t>
      </w:r>
      <w:proofErr w:type="gramEnd"/>
    </w:p>
    <w:p w14:paraId="5D31ED11" w14:textId="77777777" w:rsidR="0036548A" w:rsidRPr="0036548A" w:rsidRDefault="0036548A" w:rsidP="0036548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36548A">
        <w:rPr>
          <w:color w:val="000000" w:themeColor="text1"/>
          <w:szCs w:val="24"/>
          <w:lang w:val="en-US" w:bidi="en-US"/>
        </w:rPr>
        <w:t xml:space="preserve">Di Saverio S, Segalini E, </w:t>
      </w:r>
      <w:proofErr w:type="spellStart"/>
      <w:r w:rsidRPr="0036548A">
        <w:rPr>
          <w:color w:val="000000" w:themeColor="text1"/>
          <w:szCs w:val="24"/>
          <w:lang w:val="en-US" w:bidi="en-US"/>
        </w:rPr>
        <w:t>Birindelli</w:t>
      </w:r>
      <w:proofErr w:type="spellEnd"/>
      <w:r w:rsidRPr="0036548A">
        <w:rPr>
          <w:color w:val="000000" w:themeColor="text1"/>
          <w:szCs w:val="24"/>
          <w:lang w:val="en-US" w:bidi="en-US"/>
        </w:rPr>
        <w:t xml:space="preserve"> A, et al. Pancreas-sparing, ampulla-preserving duodenectomy for major duodenal (D1-D2) perforations. Br J Surg. 2018;105(11):1487-1492. doi:10.1002/bjs.10910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23994847" w14:textId="77777777" w:rsidR="0036548A" w:rsidRPr="0036548A" w:rsidRDefault="00212E30" w:rsidP="0036548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proofErr w:type="spellStart"/>
      <w:r w:rsidRPr="0036548A">
        <w:rPr>
          <w:color w:val="000000" w:themeColor="text1"/>
          <w:szCs w:val="24"/>
          <w:lang w:val="en-US" w:bidi="en-US"/>
        </w:rPr>
        <w:t>Ansaloni</w:t>
      </w:r>
      <w:proofErr w:type="spellEnd"/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 xml:space="preserve">L, </w:t>
      </w:r>
      <w:proofErr w:type="spellStart"/>
      <w:r w:rsidRPr="0036548A">
        <w:rPr>
          <w:color w:val="000000" w:themeColor="text1"/>
          <w:szCs w:val="24"/>
          <w:lang w:val="en-US" w:bidi="en-US"/>
        </w:rPr>
        <w:t>Ceresoli</w:t>
      </w:r>
      <w:proofErr w:type="spellEnd"/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 xml:space="preserve">M, </w:t>
      </w:r>
      <w:proofErr w:type="spellStart"/>
      <w:r w:rsidRPr="0036548A">
        <w:rPr>
          <w:color w:val="000000" w:themeColor="text1"/>
          <w:szCs w:val="24"/>
          <w:lang w:val="en-US" w:bidi="en-US"/>
        </w:rPr>
        <w:t>Fugazzola</w:t>
      </w:r>
      <w:proofErr w:type="spellEnd"/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 xml:space="preserve">P, </w:t>
      </w:r>
      <w:proofErr w:type="spellStart"/>
      <w:r w:rsidRPr="0036548A">
        <w:rPr>
          <w:color w:val="000000" w:themeColor="text1"/>
          <w:szCs w:val="24"/>
          <w:lang w:val="en-US" w:bidi="en-US"/>
        </w:rPr>
        <w:t>Tomasoni</w:t>
      </w:r>
      <w:proofErr w:type="spellEnd"/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>M, Palamara</w:t>
      </w:r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 xml:space="preserve">F, </w:t>
      </w:r>
      <w:proofErr w:type="spellStart"/>
      <w:r w:rsidRPr="0036548A">
        <w:rPr>
          <w:color w:val="000000" w:themeColor="text1"/>
          <w:szCs w:val="24"/>
          <w:lang w:val="en-US" w:bidi="en-US"/>
        </w:rPr>
        <w:t>Sartelli</w:t>
      </w:r>
      <w:proofErr w:type="spellEnd"/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proofErr w:type="spellStart"/>
      <w:proofErr w:type="gramStart"/>
      <w:r w:rsidRPr="0036548A">
        <w:rPr>
          <w:color w:val="000000" w:themeColor="text1"/>
          <w:szCs w:val="24"/>
          <w:lang w:val="en-US" w:bidi="en-US"/>
        </w:rPr>
        <w:t>M,Catena</w:t>
      </w:r>
      <w:proofErr w:type="spellEnd"/>
      <w:proofErr w:type="gramEnd"/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 xml:space="preserve">F, </w:t>
      </w:r>
      <w:proofErr w:type="spellStart"/>
      <w:r w:rsidRPr="0036548A">
        <w:rPr>
          <w:color w:val="000000" w:themeColor="text1"/>
          <w:szCs w:val="24"/>
          <w:lang w:val="en-US" w:bidi="en-US"/>
        </w:rPr>
        <w:t>MontoriG</w:t>
      </w:r>
      <w:proofErr w:type="spellEnd"/>
      <w:r w:rsidRPr="0036548A">
        <w:rPr>
          <w:color w:val="000000" w:themeColor="text1"/>
          <w:szCs w:val="24"/>
          <w:lang w:val="en-US" w:bidi="en-US"/>
        </w:rPr>
        <w:t>, Raimondo</w:t>
      </w:r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 xml:space="preserve">S, </w:t>
      </w:r>
      <w:proofErr w:type="spellStart"/>
      <w:r w:rsidRPr="0036548A">
        <w:rPr>
          <w:color w:val="000000" w:themeColor="text1"/>
          <w:szCs w:val="24"/>
          <w:lang w:val="en-US" w:bidi="en-US"/>
        </w:rPr>
        <w:t>Coccolini</w:t>
      </w:r>
      <w:proofErr w:type="spellEnd"/>
      <w:r w:rsidR="00866E81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>F. An</w:t>
      </w:r>
      <w:r w:rsidR="00674F8A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>innovative</w:t>
      </w:r>
      <w:r w:rsidR="00674F8A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 xml:space="preserve">duodenal perforation surgical </w:t>
      </w:r>
      <w:r w:rsidR="00674F8A" w:rsidRPr="0036548A">
        <w:rPr>
          <w:color w:val="000000" w:themeColor="text1"/>
          <w:szCs w:val="24"/>
          <w:lang w:val="en-US" w:bidi="en-US"/>
        </w:rPr>
        <w:tab/>
      </w:r>
      <w:r w:rsidRPr="0036548A">
        <w:rPr>
          <w:color w:val="000000" w:themeColor="text1"/>
          <w:szCs w:val="24"/>
          <w:lang w:val="en-US" w:bidi="en-US"/>
        </w:rPr>
        <w:t>repair</w:t>
      </w:r>
      <w:r w:rsidR="0036548A" w:rsidRPr="00B554D1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lastRenderedPageBreak/>
        <w:t>technique: the BIOPATCH technique. Journal</w:t>
      </w:r>
      <w:r w:rsidRPr="0036548A">
        <w:rPr>
          <w:color w:val="000000" w:themeColor="text1"/>
          <w:szCs w:val="24"/>
          <w:lang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>of</w:t>
      </w:r>
      <w:r w:rsidRPr="0036548A">
        <w:rPr>
          <w:color w:val="000000" w:themeColor="text1"/>
          <w:szCs w:val="24"/>
          <w:lang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>Peritoneum</w:t>
      </w:r>
      <w:r w:rsidRPr="0036548A">
        <w:rPr>
          <w:color w:val="000000" w:themeColor="text1"/>
          <w:szCs w:val="24"/>
          <w:lang w:bidi="en-US"/>
        </w:rPr>
        <w:t xml:space="preserve"> (</w:t>
      </w:r>
      <w:r w:rsidRPr="0036548A">
        <w:rPr>
          <w:color w:val="000000" w:themeColor="text1"/>
          <w:szCs w:val="24"/>
          <w:lang w:val="en-US" w:bidi="en-US"/>
        </w:rPr>
        <w:t>and</w:t>
      </w:r>
      <w:r w:rsidRPr="0036548A">
        <w:rPr>
          <w:color w:val="000000" w:themeColor="text1"/>
          <w:szCs w:val="24"/>
          <w:lang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>other</w:t>
      </w:r>
      <w:r w:rsidRPr="0036548A">
        <w:rPr>
          <w:color w:val="000000" w:themeColor="text1"/>
          <w:szCs w:val="24"/>
          <w:lang w:bidi="en-US"/>
        </w:rPr>
        <w:t xml:space="preserve"> </w:t>
      </w:r>
      <w:r w:rsidR="00674F8A" w:rsidRPr="0036548A">
        <w:rPr>
          <w:color w:val="000000" w:themeColor="text1"/>
          <w:szCs w:val="24"/>
          <w:lang w:bidi="en-US"/>
        </w:rPr>
        <w:tab/>
      </w:r>
      <w:r w:rsidRPr="0036548A">
        <w:rPr>
          <w:color w:val="000000" w:themeColor="text1"/>
          <w:szCs w:val="24"/>
          <w:lang w:val="en-US" w:bidi="en-US"/>
        </w:rPr>
        <w:t>serosal</w:t>
      </w:r>
      <w:r w:rsidRPr="0036548A">
        <w:rPr>
          <w:color w:val="000000" w:themeColor="text1"/>
          <w:szCs w:val="24"/>
          <w:lang w:bidi="en-US"/>
        </w:rPr>
        <w:t xml:space="preserve"> </w:t>
      </w:r>
      <w:r w:rsidRPr="0036548A">
        <w:rPr>
          <w:color w:val="000000" w:themeColor="text1"/>
          <w:szCs w:val="24"/>
          <w:lang w:val="en-US" w:bidi="en-US"/>
        </w:rPr>
        <w:t>surfaces</w:t>
      </w:r>
      <w:r w:rsidRPr="0036548A">
        <w:rPr>
          <w:color w:val="000000" w:themeColor="text1"/>
          <w:szCs w:val="24"/>
          <w:lang w:bidi="en-US"/>
        </w:rPr>
        <w:t>)</w:t>
      </w:r>
      <w:r w:rsidR="0036548A">
        <w:rPr>
          <w:color w:val="000000" w:themeColor="text1"/>
          <w:szCs w:val="24"/>
          <w:lang w:bidi="en-US"/>
        </w:rPr>
        <w:t xml:space="preserve"> </w:t>
      </w:r>
      <w:r w:rsidRPr="0036548A">
        <w:rPr>
          <w:color w:val="000000" w:themeColor="text1"/>
          <w:szCs w:val="24"/>
          <w:lang w:bidi="en-US"/>
        </w:rPr>
        <w:t>2018.</w:t>
      </w:r>
    </w:p>
    <w:p w14:paraId="2BB6559E" w14:textId="77777777" w:rsidR="0036548A" w:rsidRPr="0036548A" w:rsidRDefault="00212E30" w:rsidP="0036548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proofErr w:type="spellStart"/>
      <w:r w:rsidRPr="0036548A">
        <w:rPr>
          <w:color w:val="000000" w:themeColor="text1"/>
          <w:szCs w:val="24"/>
        </w:rPr>
        <w:t>Гостищев</w:t>
      </w:r>
      <w:proofErr w:type="spellEnd"/>
      <w:r w:rsidRPr="0036548A">
        <w:rPr>
          <w:color w:val="000000" w:themeColor="text1"/>
          <w:szCs w:val="24"/>
        </w:rPr>
        <w:t xml:space="preserve"> В.К., Евсеев М.А., Головин Р.А. Радикальные оперативные вмешательства в лечении больных с перфоративными </w:t>
      </w:r>
      <w:proofErr w:type="spellStart"/>
      <w:r w:rsidRPr="0036548A">
        <w:rPr>
          <w:color w:val="000000" w:themeColor="text1"/>
          <w:szCs w:val="24"/>
        </w:rPr>
        <w:t>гастродуоденальными</w:t>
      </w:r>
      <w:proofErr w:type="spellEnd"/>
      <w:r w:rsidRPr="0036548A">
        <w:rPr>
          <w:color w:val="000000" w:themeColor="text1"/>
          <w:szCs w:val="24"/>
        </w:rPr>
        <w:t xml:space="preserve"> язвами. Хирургия</w:t>
      </w:r>
      <w:r w:rsidR="0036548A">
        <w:rPr>
          <w:color w:val="000000" w:themeColor="text1"/>
          <w:szCs w:val="24"/>
        </w:rPr>
        <w:t>.</w:t>
      </w:r>
      <w:r w:rsidRPr="0036548A">
        <w:rPr>
          <w:color w:val="000000" w:themeColor="text1"/>
          <w:szCs w:val="24"/>
          <w:lang w:val="en-US"/>
        </w:rPr>
        <w:t xml:space="preserve"> 2009</w:t>
      </w:r>
      <w:r w:rsidR="0036548A">
        <w:rPr>
          <w:color w:val="000000" w:themeColor="text1"/>
          <w:szCs w:val="24"/>
        </w:rPr>
        <w:t>; 3:</w:t>
      </w:r>
      <w:r w:rsidRPr="0036548A">
        <w:rPr>
          <w:color w:val="000000" w:themeColor="text1"/>
          <w:szCs w:val="24"/>
          <w:lang w:val="en-US"/>
        </w:rPr>
        <w:t xml:space="preserve"> 10-16.</w:t>
      </w:r>
    </w:p>
    <w:p w14:paraId="416A8C28" w14:textId="77777777" w:rsidR="0036548A" w:rsidRPr="0036548A" w:rsidRDefault="0036548A" w:rsidP="0036548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36548A">
        <w:rPr>
          <w:color w:val="000000" w:themeColor="text1"/>
          <w:szCs w:val="24"/>
          <w:lang w:val="en-US" w:bidi="en-US"/>
        </w:rPr>
        <w:t xml:space="preserve">Leusink A, Markar SR, Wiggins T, Mackenzie H, Faiz O, Hanna GB. Laparoscopic surgery for perforated peptic ulcer: an English national population-based cohort study. Surg </w:t>
      </w:r>
      <w:proofErr w:type="spellStart"/>
      <w:r w:rsidRPr="0036548A">
        <w:rPr>
          <w:color w:val="000000" w:themeColor="text1"/>
          <w:szCs w:val="24"/>
          <w:lang w:val="en-US" w:bidi="en-US"/>
        </w:rPr>
        <w:t>Endosc</w:t>
      </w:r>
      <w:proofErr w:type="spellEnd"/>
      <w:r w:rsidRPr="0036548A">
        <w:rPr>
          <w:color w:val="000000" w:themeColor="text1"/>
          <w:szCs w:val="24"/>
          <w:lang w:val="en-US" w:bidi="en-US"/>
        </w:rPr>
        <w:t>. 2018;32(9):3783-3788. doi:10.1007/s00464-018-6058-7</w:t>
      </w:r>
      <w:r w:rsidRPr="0036548A">
        <w:rPr>
          <w:color w:val="000000" w:themeColor="text1"/>
          <w:szCs w:val="24"/>
          <w:lang w:bidi="en-US"/>
        </w:rPr>
        <w:t>.</w:t>
      </w:r>
    </w:p>
    <w:p w14:paraId="560F6137" w14:textId="77777777" w:rsidR="0036548A" w:rsidRPr="0036548A" w:rsidRDefault="0036548A" w:rsidP="0036548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36548A">
        <w:rPr>
          <w:color w:val="000000" w:themeColor="text1"/>
          <w:szCs w:val="24"/>
          <w:lang w:val="en-US" w:bidi="en-US"/>
        </w:rPr>
        <w:t xml:space="preserve">Bertleff MJ, Halm JA, </w:t>
      </w:r>
      <w:proofErr w:type="spellStart"/>
      <w:r w:rsidRPr="0036548A">
        <w:rPr>
          <w:color w:val="000000" w:themeColor="text1"/>
          <w:szCs w:val="24"/>
          <w:lang w:val="en-US" w:bidi="en-US"/>
        </w:rPr>
        <w:t>Bemelman</w:t>
      </w:r>
      <w:proofErr w:type="spellEnd"/>
      <w:r w:rsidRPr="0036548A">
        <w:rPr>
          <w:color w:val="000000" w:themeColor="text1"/>
          <w:szCs w:val="24"/>
          <w:lang w:val="en-US" w:bidi="en-US"/>
        </w:rPr>
        <w:t xml:space="preserve"> WA, et al. Randomized clinical trial of laparoscopic versus open repair of the perforated peptic ulcer: the LAMA Trial. World J Surg. 2009;33(7):1368-1373. doi:10.1007/s00268-009-0054-y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33BE3D40" w14:textId="77777777" w:rsidR="00A4239F" w:rsidRPr="00A4239F" w:rsidRDefault="00212E30" w:rsidP="00A4239F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36548A">
        <w:rPr>
          <w:color w:val="000000" w:themeColor="text1"/>
          <w:szCs w:val="24"/>
          <w:lang w:val="en-US" w:bidi="en-US"/>
        </w:rPr>
        <w:t>M</w:t>
      </w:r>
      <w:r w:rsidRPr="0036548A">
        <w:rPr>
          <w:rStyle w:val="2Corbel115pt"/>
          <w:color w:val="000000" w:themeColor="text1"/>
          <w:sz w:val="24"/>
          <w:szCs w:val="24"/>
        </w:rPr>
        <w:t>0</w:t>
      </w:r>
      <w:r w:rsidRPr="0036548A">
        <w:rPr>
          <w:color w:val="000000" w:themeColor="text1"/>
          <w:szCs w:val="24"/>
          <w:lang w:val="en-US" w:bidi="en-US"/>
        </w:rPr>
        <w:t>ller MH, Adamsen S, W</w:t>
      </w:r>
      <w:r w:rsidRPr="0036548A">
        <w:rPr>
          <w:rStyle w:val="2Corbel115pt"/>
          <w:color w:val="000000" w:themeColor="text1"/>
          <w:sz w:val="24"/>
          <w:szCs w:val="24"/>
        </w:rPr>
        <w:t>0</w:t>
      </w:r>
      <w:r w:rsidRPr="0036548A">
        <w:rPr>
          <w:color w:val="000000" w:themeColor="text1"/>
          <w:szCs w:val="24"/>
          <w:lang w:val="en-US" w:bidi="en-US"/>
        </w:rPr>
        <w:t>jdemann M, M</w:t>
      </w:r>
      <w:r w:rsidRPr="0036548A">
        <w:rPr>
          <w:rStyle w:val="2Corbel115pt"/>
          <w:color w:val="000000" w:themeColor="text1"/>
          <w:sz w:val="24"/>
          <w:szCs w:val="24"/>
        </w:rPr>
        <w:t>0</w:t>
      </w:r>
      <w:r w:rsidRPr="0036548A">
        <w:rPr>
          <w:color w:val="000000" w:themeColor="text1"/>
          <w:szCs w:val="24"/>
          <w:lang w:val="en-US" w:bidi="en-US"/>
        </w:rPr>
        <w:t>ller AM. Perforated peptic ulcer: how to improve outcome? Scand J Gastroenterol. 2009; 44(1):15-22.</w:t>
      </w:r>
      <w:r w:rsidR="00752E1B" w:rsidRPr="0036548A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36548A">
        <w:rPr>
          <w:color w:val="000000" w:themeColor="text1"/>
          <w:szCs w:val="24"/>
          <w:lang w:val="en-US" w:bidi="en-US"/>
        </w:rPr>
        <w:t>doi</w:t>
      </w:r>
      <w:proofErr w:type="spellEnd"/>
      <w:r w:rsidRPr="0036548A">
        <w:rPr>
          <w:color w:val="000000" w:themeColor="text1"/>
          <w:szCs w:val="24"/>
          <w:lang w:val="en-US" w:bidi="en-US"/>
        </w:rPr>
        <w:t xml:space="preserve">: </w:t>
      </w:r>
      <w:r w:rsidR="00752E1B" w:rsidRPr="0036548A">
        <w:rPr>
          <w:color w:val="000000" w:themeColor="text1"/>
          <w:szCs w:val="24"/>
          <w:lang w:val="en-US" w:bidi="en-US"/>
        </w:rPr>
        <w:t xml:space="preserve"> </w:t>
      </w:r>
      <w:r w:rsidRPr="0036548A">
        <w:rPr>
          <w:color w:val="000000" w:themeColor="text1"/>
          <w:szCs w:val="24"/>
          <w:lang w:val="en-US"/>
        </w:rPr>
        <w:t>10.1080/00365520802307997.</w:t>
      </w:r>
    </w:p>
    <w:p w14:paraId="53F1D1E0" w14:textId="77777777" w:rsidR="00A4239F" w:rsidRPr="00A4239F" w:rsidRDefault="00A4239F" w:rsidP="00A4239F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A4239F">
        <w:rPr>
          <w:color w:val="000000" w:themeColor="text1"/>
          <w:szCs w:val="24"/>
          <w:lang w:val="en-US" w:bidi="en-US"/>
        </w:rPr>
        <w:t xml:space="preserve">Alhaj Saleh A, Esquivel EC, Lung JT, Eaton BC, Bruns BR, </w:t>
      </w:r>
      <w:proofErr w:type="spellStart"/>
      <w:r w:rsidRPr="00A4239F">
        <w:rPr>
          <w:color w:val="000000" w:themeColor="text1"/>
          <w:szCs w:val="24"/>
          <w:lang w:val="en-US" w:bidi="en-US"/>
        </w:rPr>
        <w:t>Barmparas</w:t>
      </w:r>
      <w:proofErr w:type="spellEnd"/>
      <w:r w:rsidRPr="00A4239F">
        <w:rPr>
          <w:color w:val="000000" w:themeColor="text1"/>
          <w:szCs w:val="24"/>
          <w:lang w:val="en-US" w:bidi="en-US"/>
        </w:rPr>
        <w:t xml:space="preserve"> G et al. Laparoscopic omental patch for perforated peptic ulcer disease reduces length of stay and complications, compared to open surgery: A SWSC multicenter study. American journal of surgery. 2019 Dec;218(6):1060-1064. </w:t>
      </w:r>
      <w:proofErr w:type="spellStart"/>
      <w:r w:rsidRPr="00A4239F">
        <w:rPr>
          <w:color w:val="000000" w:themeColor="text1"/>
          <w:szCs w:val="24"/>
          <w:lang w:val="en-US" w:bidi="en-US"/>
        </w:rPr>
        <w:t>doi</w:t>
      </w:r>
      <w:proofErr w:type="spellEnd"/>
      <w:r w:rsidRPr="00A4239F">
        <w:rPr>
          <w:color w:val="000000" w:themeColor="text1"/>
          <w:szCs w:val="24"/>
          <w:lang w:val="en-US" w:bidi="en-US"/>
        </w:rPr>
        <w:t>: 10.1016/j.amjsurg.2019.09.002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6D853443" w14:textId="77777777" w:rsidR="001B4A60" w:rsidRPr="001B4A60" w:rsidRDefault="00A4239F" w:rsidP="001B4A6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A4239F">
        <w:rPr>
          <w:color w:val="000000" w:themeColor="text1"/>
          <w:szCs w:val="24"/>
          <w:lang w:val="en-US" w:bidi="en-US"/>
        </w:rPr>
        <w:t xml:space="preserve">Tan S, Wu G, Zhuang Q, et al. Laparoscopic versus open repair for perforated peptic ulcer: A meta-analysis of randomized controlled trials. Int J Surg. 2016;33 Pt A:124-132. </w:t>
      </w:r>
      <w:proofErr w:type="gramStart"/>
      <w:r w:rsidRPr="00A4239F">
        <w:rPr>
          <w:color w:val="000000" w:themeColor="text1"/>
          <w:szCs w:val="24"/>
          <w:lang w:val="en-US" w:bidi="en-US"/>
        </w:rPr>
        <w:t>doi:10.1016/j.ijsu</w:t>
      </w:r>
      <w:proofErr w:type="gramEnd"/>
      <w:r w:rsidRPr="00A4239F">
        <w:rPr>
          <w:color w:val="000000" w:themeColor="text1"/>
          <w:szCs w:val="24"/>
          <w:lang w:val="en-US" w:bidi="en-US"/>
        </w:rPr>
        <w:t>.2016.07.077</w:t>
      </w:r>
      <w:r w:rsidRPr="00D92AE8">
        <w:rPr>
          <w:color w:val="000000" w:themeColor="text1"/>
          <w:szCs w:val="24"/>
          <w:lang w:val="en-US" w:bidi="en-US"/>
        </w:rPr>
        <w:t>.</w:t>
      </w:r>
    </w:p>
    <w:p w14:paraId="3ADF69F0" w14:textId="77777777" w:rsidR="001B4A60" w:rsidRPr="001B4A60" w:rsidRDefault="001B4A60" w:rsidP="001B4A6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proofErr w:type="spellStart"/>
      <w:r w:rsidRPr="001B4A60">
        <w:rPr>
          <w:color w:val="000000" w:themeColor="text1"/>
          <w:szCs w:val="24"/>
          <w:lang w:val="en-US" w:bidi="en-US"/>
        </w:rPr>
        <w:t>Cirocchi</w:t>
      </w:r>
      <w:proofErr w:type="spellEnd"/>
      <w:r w:rsidRPr="001B4A60">
        <w:rPr>
          <w:color w:val="000000" w:themeColor="text1"/>
          <w:szCs w:val="24"/>
          <w:lang w:val="en-US" w:bidi="en-US"/>
        </w:rPr>
        <w:t xml:space="preserve"> R, </w:t>
      </w:r>
      <w:proofErr w:type="spellStart"/>
      <w:r w:rsidRPr="001B4A60">
        <w:rPr>
          <w:color w:val="000000" w:themeColor="text1"/>
          <w:szCs w:val="24"/>
          <w:lang w:val="en-US" w:bidi="en-US"/>
        </w:rPr>
        <w:t>Soreide</w:t>
      </w:r>
      <w:proofErr w:type="spellEnd"/>
      <w:r w:rsidRPr="001B4A60">
        <w:rPr>
          <w:color w:val="000000" w:themeColor="text1"/>
          <w:szCs w:val="24"/>
          <w:lang w:val="en-US" w:bidi="en-US"/>
        </w:rPr>
        <w:t xml:space="preserve"> K, Di Saverio S, et al. Meta-analysis of perioperative outcomes of acute laparoscopic versus open repair of perforated gastroduodenal ulcers. J Trauma Acute Care Surg. 2018;85(2):417-425. doi:10.1097/TA.0000000000001925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0F41534C" w14:textId="77777777" w:rsidR="001B4A60" w:rsidRPr="001B4A60" w:rsidRDefault="001B4A60" w:rsidP="001B4A6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1B4A60">
        <w:rPr>
          <w:color w:val="000000" w:themeColor="text1"/>
          <w:szCs w:val="24"/>
          <w:lang w:val="en-US" w:bidi="en-US"/>
        </w:rPr>
        <w:t xml:space="preserve">Quah GS, Eslick GD, Cox MR. Laparoscopic Repair for Perforated Peptic Ulcer Disease Has Better Outcomes Than Open Repair. J </w:t>
      </w:r>
      <w:proofErr w:type="spellStart"/>
      <w:r w:rsidRPr="001B4A60">
        <w:rPr>
          <w:color w:val="000000" w:themeColor="text1"/>
          <w:szCs w:val="24"/>
          <w:lang w:val="en-US" w:bidi="en-US"/>
        </w:rPr>
        <w:t>Gastrointest</w:t>
      </w:r>
      <w:proofErr w:type="spellEnd"/>
      <w:r w:rsidRPr="001B4A60">
        <w:rPr>
          <w:color w:val="000000" w:themeColor="text1"/>
          <w:szCs w:val="24"/>
          <w:lang w:val="en-US" w:bidi="en-US"/>
        </w:rPr>
        <w:t xml:space="preserve"> Surg. 2019;23(3):618-625. doi:10.1007/s11605-018-4047-8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7E1589B1" w14:textId="77777777" w:rsidR="001B4A60" w:rsidRPr="001B4A60" w:rsidRDefault="001B4A60" w:rsidP="001B4A6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1B4A60">
        <w:rPr>
          <w:color w:val="000000" w:themeColor="text1"/>
          <w:szCs w:val="24"/>
          <w:lang w:val="en-US" w:bidi="en-US"/>
        </w:rPr>
        <w:t xml:space="preserve">Boey J, Choi SK, Poon A, </w:t>
      </w:r>
      <w:proofErr w:type="spellStart"/>
      <w:r w:rsidRPr="001B4A60">
        <w:rPr>
          <w:color w:val="000000" w:themeColor="text1"/>
          <w:szCs w:val="24"/>
          <w:lang w:val="en-US" w:bidi="en-US"/>
        </w:rPr>
        <w:t>Alagaratnam</w:t>
      </w:r>
      <w:proofErr w:type="spellEnd"/>
      <w:r w:rsidRPr="001B4A60">
        <w:rPr>
          <w:color w:val="000000" w:themeColor="text1"/>
          <w:szCs w:val="24"/>
          <w:lang w:val="en-US" w:bidi="en-US"/>
        </w:rPr>
        <w:t xml:space="preserve"> TT. Risk stratification in perforated duodenal ulcers. A prospective validation of predictive factors. Ann Surg. 1987;205(1):22-26. doi:10.1097/00000658-198701000-00005</w:t>
      </w:r>
      <w:r w:rsidRPr="001B4A60">
        <w:rPr>
          <w:color w:val="000000" w:themeColor="text1"/>
          <w:szCs w:val="24"/>
          <w:lang w:bidi="en-US"/>
        </w:rPr>
        <w:t>.</w:t>
      </w:r>
    </w:p>
    <w:p w14:paraId="60D2A2AD" w14:textId="77777777" w:rsidR="001B4A60" w:rsidRPr="001B4A60" w:rsidRDefault="001B4A60" w:rsidP="001B4A6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1B4A60">
        <w:rPr>
          <w:color w:val="000000" w:themeColor="text1"/>
          <w:szCs w:val="24"/>
          <w:lang w:val="en-US" w:bidi="en-US"/>
        </w:rPr>
        <w:t xml:space="preserve">Arici C, Mesci A, </w:t>
      </w:r>
      <w:proofErr w:type="spellStart"/>
      <w:r w:rsidRPr="001B4A60">
        <w:rPr>
          <w:color w:val="000000" w:themeColor="text1"/>
          <w:szCs w:val="24"/>
          <w:lang w:val="en-US" w:bidi="en-US"/>
        </w:rPr>
        <w:t>Dincer</w:t>
      </w:r>
      <w:proofErr w:type="spellEnd"/>
      <w:r w:rsidRPr="001B4A60">
        <w:rPr>
          <w:color w:val="000000" w:themeColor="text1"/>
          <w:szCs w:val="24"/>
          <w:lang w:val="en-US" w:bidi="en-US"/>
        </w:rPr>
        <w:t xml:space="preserve"> D, </w:t>
      </w:r>
      <w:proofErr w:type="spellStart"/>
      <w:r w:rsidRPr="001B4A60">
        <w:rPr>
          <w:color w:val="000000" w:themeColor="text1"/>
          <w:szCs w:val="24"/>
          <w:lang w:val="en-US" w:bidi="en-US"/>
        </w:rPr>
        <w:t>Dinckan</w:t>
      </w:r>
      <w:proofErr w:type="spellEnd"/>
      <w:r w:rsidRPr="001B4A60">
        <w:rPr>
          <w:color w:val="000000" w:themeColor="text1"/>
          <w:szCs w:val="24"/>
          <w:lang w:val="en-US" w:bidi="en-US"/>
        </w:rPr>
        <w:t xml:space="preserve"> A, Colak T. Analysis of risk factors predicting (affecting) mortality and morbidity of peptic ulcer perforations. Int Surg. 2007;92(3):147-154.</w:t>
      </w:r>
    </w:p>
    <w:p w14:paraId="69C44C77" w14:textId="56F0F509" w:rsidR="001B4A60" w:rsidRPr="00891AFB" w:rsidRDefault="001B4A60" w:rsidP="001B4A6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1B4A60">
        <w:rPr>
          <w:color w:val="000000" w:themeColor="text1"/>
          <w:szCs w:val="24"/>
          <w:lang w:val="en-US" w:bidi="en-US"/>
        </w:rPr>
        <w:t xml:space="preserve">Li CH, Bair MJ, Chang WH, Shih SC, Lin SC, Yeh CY. Predictive model for length of hospital </w:t>
      </w:r>
      <w:proofErr w:type="gramStart"/>
      <w:r w:rsidRPr="001B4A60">
        <w:rPr>
          <w:color w:val="000000" w:themeColor="text1"/>
          <w:szCs w:val="24"/>
          <w:lang w:val="en-US" w:bidi="en-US"/>
        </w:rPr>
        <w:t>stay</w:t>
      </w:r>
      <w:proofErr w:type="gramEnd"/>
      <w:r w:rsidRPr="001B4A60">
        <w:rPr>
          <w:color w:val="000000" w:themeColor="text1"/>
          <w:szCs w:val="24"/>
          <w:lang w:val="en-US" w:bidi="en-US"/>
        </w:rPr>
        <w:t xml:space="preserve"> of patients surviving surgery for perforated peptic ulcer. J </w:t>
      </w:r>
      <w:proofErr w:type="spellStart"/>
      <w:r w:rsidRPr="001B4A60">
        <w:rPr>
          <w:color w:val="000000" w:themeColor="text1"/>
          <w:szCs w:val="24"/>
          <w:lang w:val="en-US" w:bidi="en-US"/>
        </w:rPr>
        <w:t>Formos</w:t>
      </w:r>
      <w:proofErr w:type="spellEnd"/>
      <w:r w:rsidRPr="001B4A60">
        <w:rPr>
          <w:color w:val="000000" w:themeColor="text1"/>
          <w:szCs w:val="24"/>
          <w:lang w:val="en-US" w:bidi="en-US"/>
        </w:rPr>
        <w:t xml:space="preserve"> Med Assoc. 2009;108(8):644-652. doi:10.1016/s0929-6646(09)60385-5</w:t>
      </w:r>
      <w:r w:rsidRPr="001B4A60">
        <w:rPr>
          <w:color w:val="000000" w:themeColor="text1"/>
          <w:szCs w:val="24"/>
          <w:lang w:bidi="en-US"/>
        </w:rPr>
        <w:t>.</w:t>
      </w:r>
      <w:r w:rsidR="00715690">
        <w:rPr>
          <w:color w:val="000000" w:themeColor="text1"/>
          <w:szCs w:val="24"/>
          <w:lang w:val="en-US" w:bidi="en-US"/>
        </w:rPr>
        <w:t xml:space="preserve"> </w:t>
      </w:r>
    </w:p>
    <w:p w14:paraId="30D5ED7D" w14:textId="1C8C6258" w:rsidR="007154B6" w:rsidRPr="007154B6" w:rsidRDefault="00DA0C83" w:rsidP="007154B6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>
        <w:rPr>
          <w:bCs/>
          <w:color w:val="000000" w:themeColor="text1"/>
          <w:lang w:val="en-US" w:bidi="en-US"/>
        </w:rPr>
        <w:lastRenderedPageBreak/>
        <w:t xml:space="preserve">Ansary D, Toren W, Lindberg </w:t>
      </w:r>
      <w:proofErr w:type="gramStart"/>
      <w:r>
        <w:rPr>
          <w:bCs/>
          <w:color w:val="000000" w:themeColor="text1"/>
          <w:lang w:val="en-US" w:bidi="en-US"/>
        </w:rPr>
        <w:t>S,  et al.</w:t>
      </w:r>
      <w:proofErr w:type="gramEnd"/>
      <w:r>
        <w:rPr>
          <w:bCs/>
          <w:color w:val="000000" w:themeColor="text1"/>
          <w:lang w:val="en-US" w:bidi="en-US"/>
        </w:rPr>
        <w:t xml:space="preserve"> Diagnosis and management of duodenal perforation:  a narrative review, Scand J Gastroenterol. 2019 Aug; 58 (8) 934-944.                              </w:t>
      </w:r>
      <w:proofErr w:type="spellStart"/>
      <w:r>
        <w:rPr>
          <w:bCs/>
          <w:color w:val="000000" w:themeColor="text1"/>
          <w:lang w:val="en-US" w:bidi="en-US"/>
        </w:rPr>
        <w:t>doi</w:t>
      </w:r>
      <w:proofErr w:type="spellEnd"/>
      <w:r>
        <w:rPr>
          <w:bCs/>
          <w:color w:val="000000" w:themeColor="text1"/>
          <w:lang w:val="en-US" w:bidi="en-US"/>
        </w:rPr>
        <w:t xml:space="preserve">:                         </w:t>
      </w:r>
    </w:p>
    <w:p w14:paraId="4024CE3F" w14:textId="77777777" w:rsidR="002941BD" w:rsidRPr="002941BD" w:rsidRDefault="007154B6" w:rsidP="002941B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7154B6">
        <w:rPr>
          <w:color w:val="000000" w:themeColor="text1"/>
          <w:szCs w:val="24"/>
          <w:lang w:val="en-US" w:bidi="en-US"/>
        </w:rPr>
        <w:t xml:space="preserve">Thorsen K, Søreide JA, Søreide K. Scoring systems for outcome prediction in patients with perforated peptic ulcer. Scand J Trauma </w:t>
      </w:r>
      <w:proofErr w:type="spellStart"/>
      <w:r w:rsidRPr="007154B6">
        <w:rPr>
          <w:color w:val="000000" w:themeColor="text1"/>
          <w:szCs w:val="24"/>
          <w:lang w:val="en-US" w:bidi="en-US"/>
        </w:rPr>
        <w:t>Resusc</w:t>
      </w:r>
      <w:proofErr w:type="spellEnd"/>
      <w:r w:rsidRPr="007154B6">
        <w:rPr>
          <w:color w:val="000000" w:themeColor="text1"/>
          <w:szCs w:val="24"/>
          <w:lang w:val="en-US" w:bidi="en-US"/>
        </w:rPr>
        <w:t xml:space="preserve"> Emerg Med. </w:t>
      </w:r>
      <w:proofErr w:type="gramStart"/>
      <w:r w:rsidRPr="007154B6">
        <w:rPr>
          <w:color w:val="000000" w:themeColor="text1"/>
          <w:szCs w:val="24"/>
          <w:lang w:val="en-US" w:bidi="en-US"/>
        </w:rPr>
        <w:t>2013;21:25</w:t>
      </w:r>
      <w:proofErr w:type="gramEnd"/>
      <w:r w:rsidRPr="007154B6">
        <w:rPr>
          <w:color w:val="000000" w:themeColor="text1"/>
          <w:szCs w:val="24"/>
          <w:lang w:val="en-US" w:bidi="en-US"/>
        </w:rPr>
        <w:t>. Published 2013 Apr 10. doi:10.1186/1757-7241-21-25</w:t>
      </w:r>
      <w:r w:rsidRPr="00DA0C83">
        <w:rPr>
          <w:color w:val="000000" w:themeColor="text1"/>
          <w:szCs w:val="24"/>
          <w:lang w:val="en-US" w:bidi="en-US"/>
        </w:rPr>
        <w:t>.</w:t>
      </w:r>
    </w:p>
    <w:p w14:paraId="54DB8F0A" w14:textId="77777777" w:rsidR="00E7763E" w:rsidRPr="00E7763E" w:rsidRDefault="002941BD" w:rsidP="00E7763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2941BD">
        <w:rPr>
          <w:color w:val="000000" w:themeColor="text1"/>
          <w:szCs w:val="24"/>
          <w:lang w:val="en-US" w:bidi="en-US"/>
        </w:rPr>
        <w:t xml:space="preserve">Thorsen K, Søreide JA, Søreide K. What is the best predictor of mortality in perforated peptic ulcer disease? A population-based, multivariable regression analysis including three clinical scoring systems. J </w:t>
      </w:r>
      <w:proofErr w:type="spellStart"/>
      <w:r w:rsidRPr="002941BD">
        <w:rPr>
          <w:color w:val="000000" w:themeColor="text1"/>
          <w:szCs w:val="24"/>
          <w:lang w:val="en-US" w:bidi="en-US"/>
        </w:rPr>
        <w:t>Gastrointest</w:t>
      </w:r>
      <w:proofErr w:type="spellEnd"/>
      <w:r w:rsidRPr="002941BD">
        <w:rPr>
          <w:color w:val="000000" w:themeColor="text1"/>
          <w:szCs w:val="24"/>
          <w:lang w:val="en-US" w:bidi="en-US"/>
        </w:rPr>
        <w:t xml:space="preserve"> Surg. 2014;18(7):1261-1268. doi:10.1007/s11605-014-2485-5</w:t>
      </w:r>
      <w:r w:rsidRPr="002941BD">
        <w:rPr>
          <w:color w:val="000000" w:themeColor="text1"/>
          <w:szCs w:val="24"/>
          <w:lang w:bidi="en-US"/>
        </w:rPr>
        <w:t>.</w:t>
      </w:r>
    </w:p>
    <w:p w14:paraId="1AB36A64" w14:textId="7BCC20C1" w:rsidR="00E7763E" w:rsidRPr="00E7763E" w:rsidRDefault="00E7763E" w:rsidP="00E7763E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bCs/>
          <w:color w:val="000000" w:themeColor="text1"/>
          <w:lang w:val="en-US" w:bidi="en-US"/>
        </w:rPr>
      </w:pPr>
      <w:r w:rsidRPr="00E7763E">
        <w:rPr>
          <w:color w:val="000000" w:themeColor="text1"/>
          <w:szCs w:val="24"/>
          <w:lang w:val="en-US" w:bidi="en-US"/>
        </w:rPr>
        <w:t xml:space="preserve">Kirkpatrick AW, </w:t>
      </w:r>
      <w:proofErr w:type="spellStart"/>
      <w:r w:rsidRPr="00E7763E">
        <w:rPr>
          <w:color w:val="000000" w:themeColor="text1"/>
          <w:szCs w:val="24"/>
          <w:lang w:val="en-US" w:bidi="en-US"/>
        </w:rPr>
        <w:t>Coccolini</w:t>
      </w:r>
      <w:proofErr w:type="spellEnd"/>
      <w:r w:rsidRPr="00E7763E">
        <w:rPr>
          <w:color w:val="000000" w:themeColor="text1"/>
          <w:szCs w:val="24"/>
          <w:lang w:val="en-US" w:bidi="en-US"/>
        </w:rPr>
        <w:t xml:space="preserve"> F, </w:t>
      </w:r>
      <w:proofErr w:type="spellStart"/>
      <w:r w:rsidRPr="00E7763E">
        <w:rPr>
          <w:color w:val="000000" w:themeColor="text1"/>
          <w:szCs w:val="24"/>
          <w:lang w:val="en-US" w:bidi="en-US"/>
        </w:rPr>
        <w:t>Ansaloni</w:t>
      </w:r>
      <w:proofErr w:type="spellEnd"/>
      <w:r w:rsidRPr="00E7763E">
        <w:rPr>
          <w:color w:val="000000" w:themeColor="text1"/>
          <w:szCs w:val="24"/>
          <w:lang w:val="en-US" w:bidi="en-US"/>
        </w:rPr>
        <w:t xml:space="preserve"> L, Roberts DJ, Tolonen M, McKee JL et al. Closed </w:t>
      </w:r>
      <w:proofErr w:type="gramStart"/>
      <w:r w:rsidRPr="00E7763E">
        <w:rPr>
          <w:color w:val="000000" w:themeColor="text1"/>
          <w:szCs w:val="24"/>
          <w:lang w:val="en-US" w:bidi="en-US"/>
        </w:rPr>
        <w:t>Or</w:t>
      </w:r>
      <w:proofErr w:type="gramEnd"/>
      <w:r w:rsidRPr="00E7763E">
        <w:rPr>
          <w:color w:val="000000" w:themeColor="text1"/>
          <w:szCs w:val="24"/>
          <w:lang w:val="en-US" w:bidi="en-US"/>
        </w:rPr>
        <w:t xml:space="preserve"> Open after Source Control Laparotomy for Severe Complicated Intra-Abdominal Sepsis (the COOL trial): Study protocol for a randomized controlled trial. World Journal of Emergency Surgery. 2018</w:t>
      </w:r>
      <w:r w:rsidRPr="009352B1">
        <w:rPr>
          <w:color w:val="000000" w:themeColor="text1"/>
          <w:szCs w:val="24"/>
          <w:lang w:val="en-US" w:bidi="en-US"/>
        </w:rPr>
        <w:t>;</w:t>
      </w:r>
      <w:r w:rsidRPr="00E7763E">
        <w:rPr>
          <w:color w:val="000000" w:themeColor="text1"/>
          <w:szCs w:val="24"/>
          <w:lang w:val="en-US" w:bidi="en-US"/>
        </w:rPr>
        <w:t xml:space="preserve"> 13(1):26. </w:t>
      </w:r>
      <w:proofErr w:type="spellStart"/>
      <w:r w:rsidRPr="00E7763E">
        <w:rPr>
          <w:color w:val="000000" w:themeColor="text1"/>
          <w:szCs w:val="24"/>
          <w:lang w:val="en-US" w:bidi="en-US"/>
        </w:rPr>
        <w:t>doi</w:t>
      </w:r>
      <w:proofErr w:type="spellEnd"/>
      <w:r w:rsidRPr="00E7763E">
        <w:rPr>
          <w:color w:val="000000" w:themeColor="text1"/>
          <w:szCs w:val="24"/>
          <w:lang w:val="en-US" w:bidi="en-US"/>
        </w:rPr>
        <w:t>: 10.1186/s13017-018-0183-4</w:t>
      </w:r>
      <w:r w:rsidRPr="009352B1">
        <w:rPr>
          <w:color w:val="000000" w:themeColor="text1"/>
          <w:szCs w:val="24"/>
          <w:lang w:val="en-US" w:bidi="en-US"/>
        </w:rPr>
        <w:t>.</w:t>
      </w:r>
    </w:p>
    <w:p w14:paraId="743DA468" w14:textId="77612CEF" w:rsidR="00553968" w:rsidRPr="00553968" w:rsidRDefault="00212E30" w:rsidP="0055396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8156B7">
        <w:rPr>
          <w:color w:val="000000" w:themeColor="text1"/>
          <w:szCs w:val="24"/>
          <w:lang w:val="en-US" w:bidi="en-US"/>
        </w:rPr>
        <w:t xml:space="preserve">Tolonen M, </w:t>
      </w:r>
      <w:proofErr w:type="spellStart"/>
      <w:r w:rsidRPr="008156B7">
        <w:rPr>
          <w:color w:val="000000" w:themeColor="text1"/>
          <w:szCs w:val="24"/>
          <w:lang w:val="en-US" w:bidi="en-US"/>
        </w:rPr>
        <w:t>Coccolini</w:t>
      </w:r>
      <w:proofErr w:type="spellEnd"/>
      <w:r w:rsidRPr="008156B7">
        <w:rPr>
          <w:color w:val="000000" w:themeColor="text1"/>
          <w:szCs w:val="24"/>
          <w:lang w:val="en-US" w:bidi="en-US"/>
        </w:rPr>
        <w:t xml:space="preserve"> F, </w:t>
      </w:r>
      <w:proofErr w:type="spellStart"/>
      <w:r w:rsidRPr="008156B7">
        <w:rPr>
          <w:color w:val="000000" w:themeColor="text1"/>
          <w:szCs w:val="24"/>
          <w:lang w:val="en-US" w:bidi="en-US"/>
        </w:rPr>
        <w:t>Ansaloni</w:t>
      </w:r>
      <w:proofErr w:type="spellEnd"/>
      <w:r w:rsidRPr="008156B7">
        <w:rPr>
          <w:color w:val="000000" w:themeColor="text1"/>
          <w:szCs w:val="24"/>
          <w:lang w:val="en-US" w:bidi="en-US"/>
        </w:rPr>
        <w:t xml:space="preserve"> L, et al. From the Closed or Open after Laparotomy for Source Control in Severe Complicated Intra-Abdominal Sepsis I. Getting the invite list right: a discussion of sepsis severity scoring systems in severe complicated intra-abdominal sepsis and randomized trial inclusion criteria. World J Emerg Surg. 2018; 13:17.</w:t>
      </w:r>
    </w:p>
    <w:p w14:paraId="129E7437" w14:textId="77777777" w:rsidR="00B5008C" w:rsidRPr="00B5008C" w:rsidRDefault="00553968" w:rsidP="00B5008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553968">
        <w:rPr>
          <w:color w:val="000000" w:themeColor="text1"/>
          <w:szCs w:val="24"/>
          <w:lang w:val="en-US" w:bidi="en-US"/>
        </w:rPr>
        <w:t xml:space="preserve">Mohsina S, Shanmugam D, Sureshkumar S, Kundra P, </w:t>
      </w:r>
      <w:proofErr w:type="spellStart"/>
      <w:r w:rsidRPr="00553968">
        <w:rPr>
          <w:color w:val="000000" w:themeColor="text1"/>
          <w:szCs w:val="24"/>
          <w:lang w:val="en-US" w:bidi="en-US"/>
        </w:rPr>
        <w:t>Mahalakshmy</w:t>
      </w:r>
      <w:proofErr w:type="spellEnd"/>
      <w:r w:rsidRPr="00553968">
        <w:rPr>
          <w:color w:val="000000" w:themeColor="text1"/>
          <w:szCs w:val="24"/>
          <w:lang w:val="en-US" w:bidi="en-US"/>
        </w:rPr>
        <w:t xml:space="preserve"> T, Kate V. Adapted ERAS Pathway vs. Standard Care in Patients with Perforated Duodenal Ulcer-a Randomized Controlled Trial. J </w:t>
      </w:r>
      <w:proofErr w:type="spellStart"/>
      <w:r w:rsidRPr="00553968">
        <w:rPr>
          <w:color w:val="000000" w:themeColor="text1"/>
          <w:szCs w:val="24"/>
          <w:lang w:val="en-US" w:bidi="en-US"/>
        </w:rPr>
        <w:t>Gastrointest</w:t>
      </w:r>
      <w:proofErr w:type="spellEnd"/>
      <w:r w:rsidRPr="00553968">
        <w:rPr>
          <w:color w:val="000000" w:themeColor="text1"/>
          <w:szCs w:val="24"/>
          <w:lang w:val="en-US" w:bidi="en-US"/>
        </w:rPr>
        <w:t xml:space="preserve"> Surg. 2018;22(1):107-116. doi:10.1007/s11605-017-3474-2.</w:t>
      </w:r>
    </w:p>
    <w:p w14:paraId="676E69CF" w14:textId="77777777" w:rsidR="00EE004B" w:rsidRPr="00EE004B" w:rsidRDefault="00B5008C" w:rsidP="00EE004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proofErr w:type="spellStart"/>
      <w:r w:rsidRPr="00B5008C">
        <w:rPr>
          <w:color w:val="000000" w:themeColor="text1"/>
          <w:szCs w:val="24"/>
          <w:lang w:val="en-US" w:bidi="en-US"/>
        </w:rPr>
        <w:t>Zeyara</w:t>
      </w:r>
      <w:proofErr w:type="spellEnd"/>
      <w:r w:rsidRPr="00B5008C">
        <w:rPr>
          <w:color w:val="000000" w:themeColor="text1"/>
          <w:szCs w:val="24"/>
          <w:lang w:val="en-US" w:bidi="en-US"/>
        </w:rPr>
        <w:t xml:space="preserve"> A, Thomasson J, Andersson B, Tingstedt B. Fast-track recovery after surgery for perforated peptic ulcer safely shortens hospital stay: A systematic review and meta-analysis of six randomized controlled trials and 356 patients. World J Surg. 2024;48(7):1575-1585. doi:10.1002/wjs.12234</w:t>
      </w:r>
      <w:r w:rsidRPr="00B5008C">
        <w:rPr>
          <w:color w:val="000000" w:themeColor="text1"/>
          <w:szCs w:val="24"/>
          <w:lang w:bidi="en-US"/>
        </w:rPr>
        <w:t>.</w:t>
      </w:r>
    </w:p>
    <w:p w14:paraId="65CE6FBF" w14:textId="77777777" w:rsidR="005122E8" w:rsidRPr="005122E8" w:rsidRDefault="00EE004B" w:rsidP="00EE004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EE004B">
        <w:rPr>
          <w:color w:val="000000" w:themeColor="text1"/>
          <w:szCs w:val="24"/>
          <w:lang w:val="en-US" w:bidi="en-US"/>
        </w:rPr>
        <w:t xml:space="preserve">Ugarte-Sierra B, </w:t>
      </w:r>
      <w:proofErr w:type="spellStart"/>
      <w:r w:rsidRPr="00EE004B">
        <w:rPr>
          <w:color w:val="000000" w:themeColor="text1"/>
          <w:szCs w:val="24"/>
          <w:lang w:val="en-US" w:bidi="en-US"/>
        </w:rPr>
        <w:t>Landaluce</w:t>
      </w:r>
      <w:proofErr w:type="spellEnd"/>
      <w:r w:rsidRPr="00EE004B">
        <w:rPr>
          <w:color w:val="000000" w:themeColor="text1"/>
          <w:szCs w:val="24"/>
          <w:lang w:val="en-US" w:bidi="en-US"/>
        </w:rPr>
        <w:t xml:space="preserve">-Olavarria A, Cabrera-Serna I, et al. Enhanced Recovery After Emergency Surgery: Utopia or </w:t>
      </w:r>
      <w:proofErr w:type="gramStart"/>
      <w:r w:rsidRPr="00EE004B">
        <w:rPr>
          <w:color w:val="000000" w:themeColor="text1"/>
          <w:szCs w:val="24"/>
          <w:lang w:val="en-US" w:bidi="en-US"/>
        </w:rPr>
        <w:t>Reality?.</w:t>
      </w:r>
      <w:proofErr w:type="gramEnd"/>
      <w:r w:rsidRPr="00EE004B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EE004B">
        <w:rPr>
          <w:color w:val="000000" w:themeColor="text1"/>
          <w:szCs w:val="24"/>
          <w:lang w:val="en-US" w:bidi="en-US"/>
        </w:rPr>
        <w:t>Rehabilitación</w:t>
      </w:r>
      <w:proofErr w:type="spellEnd"/>
      <w:r w:rsidRPr="00EE004B">
        <w:rPr>
          <w:color w:val="000000" w:themeColor="text1"/>
          <w:szCs w:val="24"/>
          <w:lang w:val="en-US" w:bidi="en-US"/>
        </w:rPr>
        <w:t xml:space="preserve"> multimodal </w:t>
      </w:r>
      <w:proofErr w:type="spellStart"/>
      <w:r w:rsidRPr="00EE004B">
        <w:rPr>
          <w:color w:val="000000" w:themeColor="text1"/>
          <w:szCs w:val="24"/>
          <w:lang w:val="en-US" w:bidi="en-US"/>
        </w:rPr>
        <w:t>en</w:t>
      </w:r>
      <w:proofErr w:type="spellEnd"/>
      <w:r w:rsidRPr="00EE004B">
        <w:rPr>
          <w:color w:val="000000" w:themeColor="text1"/>
          <w:szCs w:val="24"/>
          <w:lang w:val="en-US" w:bidi="en-US"/>
        </w:rPr>
        <w:t xml:space="preserve"> </w:t>
      </w:r>
      <w:proofErr w:type="spellStart"/>
      <w:r w:rsidRPr="00EE004B">
        <w:rPr>
          <w:color w:val="000000" w:themeColor="text1"/>
          <w:szCs w:val="24"/>
          <w:lang w:val="en-US" w:bidi="en-US"/>
        </w:rPr>
        <w:t>cirugía</w:t>
      </w:r>
      <w:proofErr w:type="spellEnd"/>
      <w:r w:rsidRPr="00EE004B">
        <w:rPr>
          <w:color w:val="000000" w:themeColor="text1"/>
          <w:szCs w:val="24"/>
          <w:lang w:val="en-US" w:bidi="en-US"/>
        </w:rPr>
        <w:t xml:space="preserve"> de </w:t>
      </w:r>
      <w:proofErr w:type="spellStart"/>
      <w:r w:rsidRPr="00EE004B">
        <w:rPr>
          <w:color w:val="000000" w:themeColor="text1"/>
          <w:szCs w:val="24"/>
          <w:lang w:val="en-US" w:bidi="en-US"/>
        </w:rPr>
        <w:t>urgencias</w:t>
      </w:r>
      <w:proofErr w:type="spellEnd"/>
      <w:r w:rsidRPr="00EE004B">
        <w:rPr>
          <w:color w:val="000000" w:themeColor="text1"/>
          <w:szCs w:val="24"/>
          <w:lang w:val="en-US" w:bidi="en-US"/>
        </w:rPr>
        <w:t>: ¿</w:t>
      </w:r>
      <w:proofErr w:type="spellStart"/>
      <w:r w:rsidRPr="00EE004B">
        <w:rPr>
          <w:color w:val="000000" w:themeColor="text1"/>
          <w:szCs w:val="24"/>
          <w:lang w:val="en-US" w:bidi="en-US"/>
        </w:rPr>
        <w:t>utopía</w:t>
      </w:r>
      <w:proofErr w:type="spellEnd"/>
      <w:r w:rsidRPr="00EE004B">
        <w:rPr>
          <w:color w:val="000000" w:themeColor="text1"/>
          <w:szCs w:val="24"/>
          <w:lang w:val="en-US" w:bidi="en-US"/>
        </w:rPr>
        <w:t xml:space="preserve"> o </w:t>
      </w:r>
      <w:proofErr w:type="spellStart"/>
      <w:proofErr w:type="gramStart"/>
      <w:r w:rsidRPr="00EE004B">
        <w:rPr>
          <w:color w:val="000000" w:themeColor="text1"/>
          <w:szCs w:val="24"/>
          <w:lang w:val="en-US" w:bidi="en-US"/>
        </w:rPr>
        <w:t>realidad</w:t>
      </w:r>
      <w:proofErr w:type="spellEnd"/>
      <w:r w:rsidRPr="00EE004B">
        <w:rPr>
          <w:color w:val="000000" w:themeColor="text1"/>
          <w:szCs w:val="24"/>
          <w:lang w:val="en-US" w:bidi="en-US"/>
        </w:rPr>
        <w:t>?.</w:t>
      </w:r>
      <w:proofErr w:type="gramEnd"/>
      <w:r w:rsidRPr="00EE004B">
        <w:rPr>
          <w:color w:val="000000" w:themeColor="text1"/>
          <w:szCs w:val="24"/>
          <w:lang w:val="en-US" w:bidi="en-US"/>
        </w:rPr>
        <w:t xml:space="preserve"> Cir Esp (Engl Ed). 2021;99(4):258-266. </w:t>
      </w:r>
      <w:proofErr w:type="gramStart"/>
      <w:r w:rsidRPr="00EE004B">
        <w:rPr>
          <w:color w:val="000000" w:themeColor="text1"/>
          <w:szCs w:val="24"/>
          <w:lang w:val="en-US" w:bidi="en-US"/>
        </w:rPr>
        <w:t>doi:10.1016/j.ciresp</w:t>
      </w:r>
      <w:proofErr w:type="gramEnd"/>
      <w:r w:rsidRPr="00EE004B">
        <w:rPr>
          <w:color w:val="000000" w:themeColor="text1"/>
          <w:szCs w:val="24"/>
          <w:lang w:val="en-US" w:bidi="en-US"/>
        </w:rPr>
        <w:t>.2020.04.017</w:t>
      </w:r>
      <w:r w:rsidRPr="00B554D1">
        <w:rPr>
          <w:color w:val="000000" w:themeColor="text1"/>
          <w:szCs w:val="24"/>
          <w:lang w:val="en-US" w:bidi="en-US"/>
        </w:rPr>
        <w:t>.</w:t>
      </w:r>
    </w:p>
    <w:p w14:paraId="0689F001" w14:textId="3BA1ECD2" w:rsidR="00212E30" w:rsidRPr="00EE004B" w:rsidRDefault="00212E30" w:rsidP="00EE004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 w:bidi="en-US"/>
        </w:rPr>
      </w:pPr>
      <w:r w:rsidRPr="00EE004B">
        <w:rPr>
          <w:color w:val="000000" w:themeColor="text1"/>
          <w:szCs w:val="24"/>
        </w:rPr>
        <w:t xml:space="preserve">Хрипун А.И., Алимов А.Н., Асратян С.А., Сажин И.В., Чуркин А.А. Метод ускоренного выздоровления при перфоративной язве двенадцатиперстной кишки. </w:t>
      </w:r>
      <w:r w:rsidR="00357B1C" w:rsidRPr="00EE004B">
        <w:rPr>
          <w:color w:val="000000" w:themeColor="text1"/>
          <w:szCs w:val="24"/>
        </w:rPr>
        <w:t xml:space="preserve">  </w:t>
      </w:r>
      <w:r w:rsidRPr="00EE004B">
        <w:rPr>
          <w:color w:val="000000" w:themeColor="text1"/>
          <w:szCs w:val="24"/>
        </w:rPr>
        <w:t xml:space="preserve">Хирургия. Журнал им. Н.И. Пирогова. 2020;(12):22-26. </w:t>
      </w:r>
      <w:r w:rsidR="005B71C9" w:rsidRPr="00EE004B">
        <w:rPr>
          <w:color w:val="000000" w:themeColor="text1"/>
          <w:szCs w:val="24"/>
        </w:rPr>
        <w:t xml:space="preserve"> </w:t>
      </w:r>
      <w:proofErr w:type="spellStart"/>
      <w:r w:rsidR="005B71C9" w:rsidRPr="00EE004B">
        <w:rPr>
          <w:color w:val="000000" w:themeColor="text1"/>
          <w:szCs w:val="24"/>
          <w:lang w:val="en-US"/>
        </w:rPr>
        <w:t>doi</w:t>
      </w:r>
      <w:proofErr w:type="spellEnd"/>
      <w:r w:rsidR="005B71C9" w:rsidRPr="00EE004B">
        <w:rPr>
          <w:color w:val="000000" w:themeColor="text1"/>
          <w:szCs w:val="24"/>
        </w:rPr>
        <w:t>:10.17116/</w:t>
      </w:r>
      <w:proofErr w:type="spellStart"/>
      <w:r w:rsidR="005B71C9" w:rsidRPr="00EE004B">
        <w:rPr>
          <w:color w:val="000000" w:themeColor="text1"/>
          <w:szCs w:val="24"/>
          <w:lang w:val="en-US"/>
        </w:rPr>
        <w:t>hirurgia</w:t>
      </w:r>
      <w:proofErr w:type="spellEnd"/>
      <w:r w:rsidR="005B71C9" w:rsidRPr="00EE004B">
        <w:rPr>
          <w:color w:val="000000" w:themeColor="text1"/>
          <w:szCs w:val="24"/>
        </w:rPr>
        <w:t xml:space="preserve">202012122. </w:t>
      </w:r>
    </w:p>
    <w:p w14:paraId="72228DFA" w14:textId="77777777" w:rsidR="007F6251" w:rsidRDefault="00212E30" w:rsidP="007F6251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B554D1">
        <w:rPr>
          <w:color w:val="000000" w:themeColor="text1"/>
          <w:szCs w:val="24"/>
          <w:lang w:val="en-US"/>
        </w:rPr>
        <w:t xml:space="preserve">Joshi MA, </w:t>
      </w:r>
      <w:proofErr w:type="spellStart"/>
      <w:r w:rsidRPr="00B554D1">
        <w:rPr>
          <w:color w:val="000000" w:themeColor="text1"/>
          <w:szCs w:val="24"/>
          <w:lang w:val="en-US"/>
        </w:rPr>
        <w:t>Gadhire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M, Paranjpe AA. Treatment of duodenal peptic ulcer perforation by endoscopic clips: A novel approach. </w:t>
      </w:r>
      <w:r w:rsidRPr="00551FD5">
        <w:rPr>
          <w:color w:val="000000" w:themeColor="text1"/>
          <w:szCs w:val="24"/>
        </w:rPr>
        <w:t xml:space="preserve">J </w:t>
      </w:r>
      <w:proofErr w:type="spellStart"/>
      <w:r w:rsidRPr="00551FD5">
        <w:rPr>
          <w:color w:val="000000" w:themeColor="text1"/>
          <w:szCs w:val="24"/>
        </w:rPr>
        <w:t>Dig</w:t>
      </w:r>
      <w:proofErr w:type="spellEnd"/>
      <w:r w:rsidRPr="00551FD5">
        <w:rPr>
          <w:color w:val="000000" w:themeColor="text1"/>
          <w:szCs w:val="24"/>
        </w:rPr>
        <w:t xml:space="preserve"> </w:t>
      </w:r>
      <w:proofErr w:type="spellStart"/>
      <w:r w:rsidRPr="00551FD5">
        <w:rPr>
          <w:color w:val="000000" w:themeColor="text1"/>
          <w:szCs w:val="24"/>
        </w:rPr>
        <w:t>Endosc</w:t>
      </w:r>
      <w:proofErr w:type="spellEnd"/>
      <w:r w:rsidRPr="00551FD5">
        <w:rPr>
          <w:color w:val="000000" w:themeColor="text1"/>
          <w:szCs w:val="24"/>
        </w:rPr>
        <w:t>. 2017; 8:24</w:t>
      </w:r>
      <w:r w:rsidR="006904BA">
        <w:rPr>
          <w:color w:val="000000" w:themeColor="text1"/>
          <w:szCs w:val="24"/>
        </w:rPr>
        <w:t>.</w:t>
      </w:r>
      <w:r w:rsidR="009A171F" w:rsidRPr="00551FD5">
        <w:rPr>
          <w:color w:val="000000" w:themeColor="text1"/>
          <w:szCs w:val="24"/>
        </w:rPr>
        <w:t xml:space="preserve"> </w:t>
      </w:r>
    </w:p>
    <w:p w14:paraId="013E36F6" w14:textId="77777777" w:rsidR="002B5CB2" w:rsidRPr="009352B1" w:rsidRDefault="007F6251" w:rsidP="002B5CB2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/>
        </w:rPr>
      </w:pPr>
      <w:r w:rsidRPr="007F6251">
        <w:rPr>
          <w:color w:val="000000" w:themeColor="text1"/>
          <w:szCs w:val="24"/>
          <w:lang w:val="en-US"/>
        </w:rPr>
        <w:lastRenderedPageBreak/>
        <w:t xml:space="preserve">Wadewitz E, Friedrichs J, Grilli M, et al. Approaches for the treatment of perforated peptic ulcers: a network meta-analysis of </w:t>
      </w:r>
      <w:proofErr w:type="spellStart"/>
      <w:r w:rsidRPr="007F6251">
        <w:rPr>
          <w:color w:val="000000" w:themeColor="text1"/>
          <w:szCs w:val="24"/>
          <w:lang w:val="en-US"/>
        </w:rPr>
        <w:t>randomised</w:t>
      </w:r>
      <w:proofErr w:type="spellEnd"/>
      <w:r w:rsidRPr="007F6251">
        <w:rPr>
          <w:color w:val="000000" w:themeColor="text1"/>
          <w:szCs w:val="24"/>
          <w:lang w:val="en-US"/>
        </w:rPr>
        <w:t xml:space="preserve"> controlled trials - study protocol. BMJ Open. 2024;14(3</w:t>
      </w:r>
      <w:proofErr w:type="gramStart"/>
      <w:r w:rsidRPr="007F6251">
        <w:rPr>
          <w:color w:val="000000" w:themeColor="text1"/>
          <w:szCs w:val="24"/>
          <w:lang w:val="en-US"/>
        </w:rPr>
        <w:t>):e</w:t>
      </w:r>
      <w:proofErr w:type="gramEnd"/>
      <w:r w:rsidRPr="007F6251">
        <w:rPr>
          <w:color w:val="000000" w:themeColor="text1"/>
          <w:szCs w:val="24"/>
          <w:lang w:val="en-US"/>
        </w:rPr>
        <w:t>082732. Published 2024 Mar 18. doi:10.1136/bmjopen-2023-082732</w:t>
      </w:r>
      <w:r w:rsidR="009A171F" w:rsidRPr="009352B1">
        <w:rPr>
          <w:color w:val="222222"/>
          <w:szCs w:val="24"/>
          <w:lang w:val="en-US"/>
        </w:rPr>
        <w:t>.</w:t>
      </w:r>
    </w:p>
    <w:p w14:paraId="13363471" w14:textId="77777777" w:rsidR="002B5CB2" w:rsidRDefault="002B5CB2" w:rsidP="002B5CB2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B554D1">
        <w:rPr>
          <w:color w:val="000000" w:themeColor="text1"/>
          <w:szCs w:val="24"/>
          <w:lang w:val="en-US"/>
        </w:rPr>
        <w:t xml:space="preserve">Songne B, Jean F, </w:t>
      </w:r>
      <w:proofErr w:type="spellStart"/>
      <w:r w:rsidRPr="00B554D1">
        <w:rPr>
          <w:color w:val="000000" w:themeColor="text1"/>
          <w:szCs w:val="24"/>
          <w:lang w:val="en-US"/>
        </w:rPr>
        <w:t>Foulatier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O, Khalil H, </w:t>
      </w:r>
      <w:proofErr w:type="spellStart"/>
      <w:r w:rsidRPr="00B554D1">
        <w:rPr>
          <w:color w:val="000000" w:themeColor="text1"/>
          <w:szCs w:val="24"/>
          <w:lang w:val="en-US"/>
        </w:rPr>
        <w:t>Scotté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M. </w:t>
      </w:r>
      <w:proofErr w:type="spellStart"/>
      <w:r w:rsidRPr="00B554D1">
        <w:rPr>
          <w:color w:val="000000" w:themeColor="text1"/>
          <w:szCs w:val="24"/>
          <w:lang w:val="en-US"/>
        </w:rPr>
        <w:t>Traitement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non </w:t>
      </w:r>
      <w:proofErr w:type="spellStart"/>
      <w:r w:rsidRPr="00B554D1">
        <w:rPr>
          <w:color w:val="000000" w:themeColor="text1"/>
          <w:szCs w:val="24"/>
          <w:lang w:val="en-US"/>
        </w:rPr>
        <w:t>opératoire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des perforations </w:t>
      </w:r>
      <w:proofErr w:type="spellStart"/>
      <w:r w:rsidRPr="00B554D1">
        <w:rPr>
          <w:color w:val="000000" w:themeColor="text1"/>
          <w:szCs w:val="24"/>
          <w:lang w:val="en-US"/>
        </w:rPr>
        <w:t>d'ulcère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</w:t>
      </w:r>
      <w:proofErr w:type="spellStart"/>
      <w:r w:rsidRPr="00B554D1">
        <w:rPr>
          <w:color w:val="000000" w:themeColor="text1"/>
          <w:szCs w:val="24"/>
          <w:lang w:val="en-US"/>
        </w:rPr>
        <w:t>gastroduodénal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. </w:t>
      </w:r>
      <w:proofErr w:type="spellStart"/>
      <w:r w:rsidRPr="00B554D1">
        <w:rPr>
          <w:color w:val="000000" w:themeColor="text1"/>
          <w:szCs w:val="24"/>
          <w:lang w:val="en-US"/>
        </w:rPr>
        <w:t>Résultats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</w:t>
      </w:r>
      <w:proofErr w:type="spellStart"/>
      <w:r w:rsidRPr="00B554D1">
        <w:rPr>
          <w:color w:val="000000" w:themeColor="text1"/>
          <w:szCs w:val="24"/>
          <w:lang w:val="en-US"/>
        </w:rPr>
        <w:t>d'une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étude prospective [Non operative treatment for perforated peptic ulcer: results of a prospective study]. </w:t>
      </w:r>
      <w:proofErr w:type="spellStart"/>
      <w:r w:rsidRPr="002B5CB2">
        <w:rPr>
          <w:color w:val="000000" w:themeColor="text1"/>
          <w:szCs w:val="24"/>
        </w:rPr>
        <w:t>Ann</w:t>
      </w:r>
      <w:proofErr w:type="spellEnd"/>
      <w:r w:rsidRPr="002B5CB2">
        <w:rPr>
          <w:color w:val="000000" w:themeColor="text1"/>
          <w:szCs w:val="24"/>
        </w:rPr>
        <w:t xml:space="preserve"> </w:t>
      </w:r>
      <w:proofErr w:type="spellStart"/>
      <w:r w:rsidRPr="002B5CB2">
        <w:rPr>
          <w:color w:val="000000" w:themeColor="text1"/>
          <w:szCs w:val="24"/>
        </w:rPr>
        <w:t>Chir</w:t>
      </w:r>
      <w:proofErr w:type="spellEnd"/>
      <w:r w:rsidRPr="002B5CB2">
        <w:rPr>
          <w:color w:val="000000" w:themeColor="text1"/>
          <w:szCs w:val="24"/>
        </w:rPr>
        <w:t xml:space="preserve">. 2004;129(10):578-582. </w:t>
      </w:r>
      <w:proofErr w:type="gramStart"/>
      <w:r w:rsidRPr="002B5CB2">
        <w:rPr>
          <w:color w:val="000000" w:themeColor="text1"/>
          <w:szCs w:val="24"/>
        </w:rPr>
        <w:t>doi:10.1016/j.anchir</w:t>
      </w:r>
      <w:proofErr w:type="gramEnd"/>
      <w:r w:rsidRPr="002B5CB2">
        <w:rPr>
          <w:color w:val="000000" w:themeColor="text1"/>
          <w:szCs w:val="24"/>
        </w:rPr>
        <w:t>.2004.06.012.</w:t>
      </w:r>
    </w:p>
    <w:p w14:paraId="70EE82E9" w14:textId="77777777" w:rsidR="002B5CB2" w:rsidRDefault="002B5CB2" w:rsidP="002B5CB2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2B5CB2">
        <w:rPr>
          <w:color w:val="000000" w:themeColor="text1"/>
          <w:szCs w:val="24"/>
          <w:lang w:val="en-US"/>
        </w:rPr>
        <w:t xml:space="preserve">Malkov IS, </w:t>
      </w:r>
      <w:proofErr w:type="spellStart"/>
      <w:r w:rsidRPr="002B5CB2">
        <w:rPr>
          <w:color w:val="000000" w:themeColor="text1"/>
          <w:szCs w:val="24"/>
          <w:lang w:val="en-US"/>
        </w:rPr>
        <w:t>Zaynutdinov</w:t>
      </w:r>
      <w:proofErr w:type="spellEnd"/>
      <w:r w:rsidRPr="002B5CB2">
        <w:rPr>
          <w:color w:val="000000" w:themeColor="text1"/>
          <w:szCs w:val="24"/>
          <w:lang w:val="en-US"/>
        </w:rPr>
        <w:t xml:space="preserve"> AM, Veliyev NA, </w:t>
      </w:r>
      <w:proofErr w:type="spellStart"/>
      <w:r w:rsidRPr="002B5CB2">
        <w:rPr>
          <w:color w:val="000000" w:themeColor="text1"/>
          <w:szCs w:val="24"/>
          <w:lang w:val="en-US"/>
        </w:rPr>
        <w:t>Tagirov</w:t>
      </w:r>
      <w:proofErr w:type="spellEnd"/>
      <w:r w:rsidRPr="002B5CB2">
        <w:rPr>
          <w:color w:val="000000" w:themeColor="text1"/>
          <w:szCs w:val="24"/>
          <w:lang w:val="en-US"/>
        </w:rPr>
        <w:t xml:space="preserve"> MR, Merrell RC. Laparoscopic and endoscopic management of perforated duodenal ulcers. J Am Coll Surg. 2004;198(3):352-355. </w:t>
      </w:r>
      <w:proofErr w:type="gramStart"/>
      <w:r w:rsidRPr="002B5CB2">
        <w:rPr>
          <w:color w:val="000000" w:themeColor="text1"/>
          <w:szCs w:val="24"/>
          <w:lang w:val="en-US"/>
        </w:rPr>
        <w:t>doi:10.1016/j.jamcollsurg</w:t>
      </w:r>
      <w:proofErr w:type="gramEnd"/>
      <w:r w:rsidRPr="002B5CB2">
        <w:rPr>
          <w:color w:val="000000" w:themeColor="text1"/>
          <w:szCs w:val="24"/>
          <w:lang w:val="en-US"/>
        </w:rPr>
        <w:t>.2003.10.015</w:t>
      </w:r>
      <w:r w:rsidRPr="002B5CB2">
        <w:rPr>
          <w:color w:val="000000" w:themeColor="text1"/>
          <w:szCs w:val="24"/>
        </w:rPr>
        <w:t>.</w:t>
      </w:r>
    </w:p>
    <w:p w14:paraId="54D7E2ED" w14:textId="77777777" w:rsidR="002B5CB2" w:rsidRDefault="002B5CB2" w:rsidP="002B5CB2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2B5CB2">
        <w:rPr>
          <w:color w:val="000000" w:themeColor="text1"/>
          <w:szCs w:val="24"/>
          <w:lang w:val="en-US"/>
        </w:rPr>
        <w:t>Bergström M, Arroyo Vázquez JA, Park PO. Self-expandable metal stents as a new treatment option for perforated duodenal ulcer. Endoscopy. 2013;45(3):222-225. doi:10.1055/s-0032-1325885</w:t>
      </w:r>
      <w:r w:rsidRPr="002B5CB2">
        <w:rPr>
          <w:color w:val="000000" w:themeColor="text1"/>
          <w:szCs w:val="24"/>
        </w:rPr>
        <w:t>.</w:t>
      </w:r>
    </w:p>
    <w:p w14:paraId="41E47F9B" w14:textId="77777777" w:rsidR="002B5CB2" w:rsidRDefault="002B5CB2" w:rsidP="002B5CB2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2B5CB2">
        <w:rPr>
          <w:color w:val="000000" w:themeColor="text1"/>
          <w:szCs w:val="24"/>
          <w:lang w:val="en-US"/>
        </w:rPr>
        <w:t xml:space="preserve">Tsushima Y, Yamada S, Aoki J, </w:t>
      </w:r>
      <w:proofErr w:type="spellStart"/>
      <w:r w:rsidRPr="002B5CB2">
        <w:rPr>
          <w:color w:val="000000" w:themeColor="text1"/>
          <w:szCs w:val="24"/>
          <w:lang w:val="en-US"/>
        </w:rPr>
        <w:t>Motojima</w:t>
      </w:r>
      <w:proofErr w:type="spellEnd"/>
      <w:r w:rsidRPr="002B5CB2">
        <w:rPr>
          <w:color w:val="000000" w:themeColor="text1"/>
          <w:szCs w:val="24"/>
          <w:lang w:val="en-US"/>
        </w:rPr>
        <w:t xml:space="preserve"> T, Endo K. Effect of contrast-enhanced computed tomography on diagnosis and management of acute abdomen in adults. Clin </w:t>
      </w:r>
      <w:proofErr w:type="spellStart"/>
      <w:r w:rsidRPr="002B5CB2">
        <w:rPr>
          <w:color w:val="000000" w:themeColor="text1"/>
          <w:szCs w:val="24"/>
          <w:lang w:val="en-US"/>
        </w:rPr>
        <w:t>Radiol</w:t>
      </w:r>
      <w:proofErr w:type="spellEnd"/>
      <w:r w:rsidRPr="002B5CB2">
        <w:rPr>
          <w:color w:val="000000" w:themeColor="text1"/>
          <w:szCs w:val="24"/>
          <w:lang w:val="en-US"/>
        </w:rPr>
        <w:t>. 2002;57(6):507-513. doi:10.1053/crad.2001.0925</w:t>
      </w:r>
      <w:r w:rsidRPr="002B5CB2">
        <w:rPr>
          <w:color w:val="000000" w:themeColor="text1"/>
          <w:szCs w:val="24"/>
        </w:rPr>
        <w:t>.</w:t>
      </w:r>
    </w:p>
    <w:p w14:paraId="741900BC" w14:textId="77777777" w:rsidR="00BB3E20" w:rsidRDefault="002B5CB2" w:rsidP="00BB3E2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2B5CB2">
        <w:rPr>
          <w:color w:val="000000" w:themeColor="text1"/>
          <w:szCs w:val="24"/>
          <w:lang w:val="en-US"/>
        </w:rPr>
        <w:t>Salem TA, Molloy RG, O'Dwyer PJ. Prospective study on the role of the CT scan in patients with an acute abdomen. Colorectal Dis. 2005;7(5):460-466. doi:10.1111/j.1463-1318.2005.</w:t>
      </w:r>
      <w:proofErr w:type="gramStart"/>
      <w:r w:rsidRPr="002B5CB2">
        <w:rPr>
          <w:color w:val="000000" w:themeColor="text1"/>
          <w:szCs w:val="24"/>
          <w:lang w:val="en-US"/>
        </w:rPr>
        <w:t>00822.x</w:t>
      </w:r>
      <w:r w:rsidRPr="002B5CB2">
        <w:rPr>
          <w:color w:val="000000" w:themeColor="text1"/>
          <w:szCs w:val="24"/>
        </w:rPr>
        <w:t>.</w:t>
      </w:r>
      <w:proofErr w:type="gramEnd"/>
    </w:p>
    <w:p w14:paraId="747B0359" w14:textId="2E3C746E" w:rsidR="00BB3E20" w:rsidRDefault="00BB3E20" w:rsidP="00BB3E2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BB3E20">
        <w:rPr>
          <w:color w:val="000000" w:themeColor="text1"/>
          <w:szCs w:val="24"/>
          <w:lang w:val="en-US"/>
        </w:rPr>
        <w:t>Andersen CA, Holden S, Vela J, Rathleff MS, Jensen MB. Point-of-Care Ultrasound in General Practice: A Systematic Review. Ann Fam Med. 2019;17(1):61-69. doi:10.1370/afm.2330</w:t>
      </w:r>
      <w:r>
        <w:rPr>
          <w:color w:val="000000" w:themeColor="text1"/>
          <w:szCs w:val="24"/>
        </w:rPr>
        <w:t>.</w:t>
      </w:r>
    </w:p>
    <w:p w14:paraId="263EB8E0" w14:textId="77777777" w:rsidR="00BB3E20" w:rsidRDefault="00BB3E20" w:rsidP="00BB3E20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</w:rPr>
      </w:pPr>
      <w:r w:rsidRPr="00BB3E20">
        <w:rPr>
          <w:color w:val="000000" w:themeColor="text1"/>
          <w:szCs w:val="24"/>
          <w:lang w:val="en-US"/>
        </w:rPr>
        <w:t>Yamamoto K, Takahashi O, Arioka H, Kobayashi D. Evaluation of risk factors for perforated peptic ulcer. BMC Gastroenterol. 2018;18(1):28. Published 2018 Feb 15. doi:10.1186/s12876-018-0756-4</w:t>
      </w:r>
      <w:r w:rsidRPr="00BB3E20">
        <w:rPr>
          <w:color w:val="000000" w:themeColor="text1"/>
          <w:szCs w:val="24"/>
        </w:rPr>
        <w:t>.</w:t>
      </w:r>
    </w:p>
    <w:p w14:paraId="240AFF23" w14:textId="0FD44E38" w:rsidR="00B634B6" w:rsidRPr="009352B1" w:rsidRDefault="00BB3E20" w:rsidP="00B634B6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szCs w:val="24"/>
          <w:lang w:val="en-US"/>
        </w:rPr>
      </w:pPr>
      <w:proofErr w:type="spellStart"/>
      <w:r w:rsidRPr="00BB3E20">
        <w:rPr>
          <w:color w:val="000000" w:themeColor="text1"/>
          <w:szCs w:val="24"/>
          <w:lang w:val="en-US"/>
        </w:rPr>
        <w:t>Barkun</w:t>
      </w:r>
      <w:proofErr w:type="spellEnd"/>
      <w:r w:rsidRPr="00BB3E20">
        <w:rPr>
          <w:color w:val="000000" w:themeColor="text1"/>
          <w:szCs w:val="24"/>
          <w:lang w:val="en-US"/>
        </w:rPr>
        <w:t xml:space="preserve"> AN, Bardou M, Kuipers EJ, et al. </w:t>
      </w:r>
      <w:proofErr w:type="gramStart"/>
      <w:r w:rsidRPr="00BB3E20">
        <w:rPr>
          <w:color w:val="000000" w:themeColor="text1"/>
          <w:szCs w:val="24"/>
          <w:lang w:val="en-US"/>
        </w:rPr>
        <w:t>International</w:t>
      </w:r>
      <w:proofErr w:type="gramEnd"/>
      <w:r w:rsidRPr="00BB3E20">
        <w:rPr>
          <w:color w:val="000000" w:themeColor="text1"/>
          <w:szCs w:val="24"/>
          <w:lang w:val="en-US"/>
        </w:rPr>
        <w:t xml:space="preserve"> consensus recommendations on the management of patients with nonvariceal upper gastrointestinal bleeding. Ann Intern Med. 2010;152(2):101-113. doi:10.7326/0003-4819-152-2-201001190-00009</w:t>
      </w:r>
      <w:r w:rsidRPr="009352B1">
        <w:rPr>
          <w:color w:val="000000" w:themeColor="text1"/>
          <w:szCs w:val="24"/>
          <w:lang w:val="en-US"/>
        </w:rPr>
        <w:t>.</w:t>
      </w:r>
    </w:p>
    <w:p w14:paraId="1CAF3243" w14:textId="5086CCE4" w:rsidR="00B554D1" w:rsidRPr="009352B1" w:rsidRDefault="00D158B6" w:rsidP="009B142F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szCs w:val="24"/>
          <w:lang w:val="en-US"/>
        </w:rPr>
      </w:pPr>
      <w:r w:rsidRPr="00E90444">
        <w:rPr>
          <w:szCs w:val="24"/>
          <w:lang w:val="en-US"/>
        </w:rPr>
        <w:t xml:space="preserve">Laine L, </w:t>
      </w:r>
      <w:proofErr w:type="spellStart"/>
      <w:proofErr w:type="gramStart"/>
      <w:r w:rsidRPr="00E90444">
        <w:rPr>
          <w:szCs w:val="24"/>
          <w:lang w:val="en-US"/>
        </w:rPr>
        <w:t>Barkun</w:t>
      </w:r>
      <w:proofErr w:type="spellEnd"/>
      <w:r w:rsidRPr="00E90444">
        <w:rPr>
          <w:szCs w:val="24"/>
          <w:lang w:val="en-US"/>
        </w:rPr>
        <w:t xml:space="preserve">  AN</w:t>
      </w:r>
      <w:proofErr w:type="gramEnd"/>
      <w:r w:rsidRPr="00E90444">
        <w:rPr>
          <w:szCs w:val="24"/>
          <w:lang w:val="en-US"/>
        </w:rPr>
        <w:t xml:space="preserve">, Saltzman JR, et al. </w:t>
      </w:r>
      <w:r w:rsidRPr="009B142F">
        <w:rPr>
          <w:szCs w:val="24"/>
          <w:lang w:val="en-US"/>
        </w:rPr>
        <w:t>AGG Clinical Guideline: Upper</w:t>
      </w:r>
      <w:r w:rsidRPr="00733E43">
        <w:rPr>
          <w:color w:val="000000" w:themeColor="text1"/>
          <w:szCs w:val="24"/>
          <w:lang w:val="en-US"/>
        </w:rPr>
        <w:t xml:space="preserve"> Gastrointestinal  and Ulcer bleeding. A. J Gastroenterol</w:t>
      </w:r>
      <w:r w:rsidR="00733E43" w:rsidRPr="00733E43">
        <w:rPr>
          <w:color w:val="000000" w:themeColor="text1"/>
          <w:szCs w:val="24"/>
          <w:lang w:val="en-US"/>
        </w:rPr>
        <w:t xml:space="preserve">. 2021 May 1; 116(5):899-917. </w:t>
      </w:r>
      <w:proofErr w:type="spellStart"/>
      <w:r w:rsidR="00733E43" w:rsidRPr="00733E43">
        <w:rPr>
          <w:color w:val="000000" w:themeColor="text1"/>
          <w:szCs w:val="24"/>
          <w:lang w:val="en-US"/>
        </w:rPr>
        <w:t>doi</w:t>
      </w:r>
      <w:proofErr w:type="spellEnd"/>
      <w:r w:rsidR="00733E43" w:rsidRPr="00733E43">
        <w:rPr>
          <w:color w:val="000000" w:themeColor="text1"/>
          <w:szCs w:val="24"/>
          <w:lang w:val="en-US"/>
        </w:rPr>
        <w:t>: 10.14309/ajg.0000000000001245.</w:t>
      </w:r>
    </w:p>
    <w:p w14:paraId="39B08542" w14:textId="24601B58" w:rsidR="00D2563B" w:rsidRPr="00B554D1" w:rsidRDefault="003E5FA7" w:rsidP="00D2563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554D1">
        <w:rPr>
          <w:color w:val="000000" w:themeColor="text1"/>
          <w:szCs w:val="24"/>
          <w:lang w:val="en-US"/>
        </w:rPr>
        <w:t xml:space="preserve">  </w:t>
      </w:r>
      <w:r w:rsidR="00CE5685">
        <w:rPr>
          <w:color w:val="000000" w:themeColor="text1"/>
          <w:lang w:val="en-US"/>
        </w:rPr>
        <w:t xml:space="preserve">Lau JYW, Yu Y., Tang RSY, et al. Timing of endoscopy for acute </w:t>
      </w:r>
      <w:r w:rsidR="003F6E72">
        <w:rPr>
          <w:color w:val="000000" w:themeColor="text1"/>
          <w:lang w:val="en-US"/>
        </w:rPr>
        <w:t xml:space="preserve">upper gastrointestinal bleeding. N Engl. J </w:t>
      </w:r>
      <w:proofErr w:type="gramStart"/>
      <w:r w:rsidR="003F6E72">
        <w:rPr>
          <w:color w:val="000000" w:themeColor="text1"/>
          <w:lang w:val="en-US"/>
        </w:rPr>
        <w:t>Med  2020</w:t>
      </w:r>
      <w:proofErr w:type="gramEnd"/>
      <w:r w:rsidR="003F6E72">
        <w:rPr>
          <w:color w:val="000000" w:themeColor="text1"/>
          <w:lang w:val="en-US"/>
        </w:rPr>
        <w:t xml:space="preserve"> Apr 2; 382  (14): 1299-1308.  </w:t>
      </w:r>
      <w:proofErr w:type="spellStart"/>
      <w:r w:rsidR="003F6E72">
        <w:rPr>
          <w:color w:val="000000" w:themeColor="text1"/>
          <w:lang w:val="en-US"/>
        </w:rPr>
        <w:t>doi</w:t>
      </w:r>
      <w:proofErr w:type="spellEnd"/>
      <w:r w:rsidR="003F6E72">
        <w:rPr>
          <w:color w:val="000000" w:themeColor="text1"/>
          <w:lang w:val="en-US"/>
        </w:rPr>
        <w:t>: 10.1056/NEJMoa1912484</w:t>
      </w:r>
    </w:p>
    <w:p w14:paraId="7B301B95" w14:textId="77777777" w:rsidR="0008092A" w:rsidRPr="00CE5685" w:rsidRDefault="00D2563B" w:rsidP="0008092A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D2563B">
        <w:rPr>
          <w:color w:val="000000" w:themeColor="text1"/>
          <w:szCs w:val="24"/>
          <w:lang w:val="en-US"/>
        </w:rPr>
        <w:t xml:space="preserve">Nagashima K, Tominaga K, </w:t>
      </w:r>
      <w:proofErr w:type="spellStart"/>
      <w:r w:rsidRPr="00D2563B">
        <w:rPr>
          <w:color w:val="000000" w:themeColor="text1"/>
          <w:szCs w:val="24"/>
          <w:lang w:val="en-US"/>
        </w:rPr>
        <w:t>Fukushi</w:t>
      </w:r>
      <w:proofErr w:type="spellEnd"/>
      <w:r w:rsidRPr="00D2563B">
        <w:rPr>
          <w:color w:val="000000" w:themeColor="text1"/>
          <w:szCs w:val="24"/>
          <w:lang w:val="en-US"/>
        </w:rPr>
        <w:t xml:space="preserve"> K, Kanamori A, </w:t>
      </w:r>
      <w:proofErr w:type="spellStart"/>
      <w:r w:rsidRPr="00D2563B">
        <w:rPr>
          <w:color w:val="000000" w:themeColor="text1"/>
          <w:szCs w:val="24"/>
          <w:lang w:val="en-US"/>
        </w:rPr>
        <w:t>Sasai</w:t>
      </w:r>
      <w:proofErr w:type="spellEnd"/>
      <w:r w:rsidRPr="00D2563B">
        <w:rPr>
          <w:color w:val="000000" w:themeColor="text1"/>
          <w:szCs w:val="24"/>
          <w:lang w:val="en-US"/>
        </w:rPr>
        <w:t xml:space="preserve"> T, </w:t>
      </w:r>
      <w:proofErr w:type="spellStart"/>
      <w:r w:rsidRPr="00D2563B">
        <w:rPr>
          <w:color w:val="000000" w:themeColor="text1"/>
          <w:szCs w:val="24"/>
          <w:lang w:val="en-US"/>
        </w:rPr>
        <w:t>Hiraishi</w:t>
      </w:r>
      <w:proofErr w:type="spellEnd"/>
      <w:r w:rsidRPr="00D2563B">
        <w:rPr>
          <w:color w:val="000000" w:themeColor="text1"/>
          <w:szCs w:val="24"/>
          <w:lang w:val="en-US"/>
        </w:rPr>
        <w:t xml:space="preserve"> H. Recent trends in the occurrence of bleeding gastric and duodenal ulcers under the Japanese evidence-based </w:t>
      </w:r>
      <w:r w:rsidRPr="00D2563B">
        <w:rPr>
          <w:color w:val="000000" w:themeColor="text1"/>
          <w:szCs w:val="24"/>
          <w:lang w:val="en-US"/>
        </w:rPr>
        <w:lastRenderedPageBreak/>
        <w:t>clinical practice guideline for peptic ulcer disease. JGH Open. 2018;2(6):255-261. Published 2018 Aug 21. doi:10.1002/jgh3.12078</w:t>
      </w:r>
      <w:r w:rsidRPr="00CE5685">
        <w:rPr>
          <w:color w:val="000000" w:themeColor="text1"/>
          <w:szCs w:val="24"/>
          <w:lang w:val="en-US"/>
        </w:rPr>
        <w:t>.</w:t>
      </w:r>
    </w:p>
    <w:p w14:paraId="6A23EAD4" w14:textId="77777777" w:rsidR="00BC5B28" w:rsidRPr="00BC5B28" w:rsidRDefault="0008092A" w:rsidP="00BC5B2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proofErr w:type="spellStart"/>
      <w:r w:rsidRPr="0008092A">
        <w:rPr>
          <w:color w:val="000000" w:themeColor="text1"/>
          <w:szCs w:val="24"/>
          <w:lang w:val="en-US"/>
        </w:rPr>
        <w:t>Heldwein</w:t>
      </w:r>
      <w:proofErr w:type="spellEnd"/>
      <w:r w:rsidRPr="0008092A">
        <w:rPr>
          <w:color w:val="000000" w:themeColor="text1"/>
          <w:szCs w:val="24"/>
          <w:lang w:val="en-US"/>
        </w:rPr>
        <w:t xml:space="preserve"> W, Schreiner J, </w:t>
      </w:r>
      <w:proofErr w:type="spellStart"/>
      <w:r w:rsidRPr="0008092A">
        <w:rPr>
          <w:color w:val="000000" w:themeColor="text1"/>
          <w:szCs w:val="24"/>
          <w:lang w:val="en-US"/>
        </w:rPr>
        <w:t>Pedrazzoli</w:t>
      </w:r>
      <w:proofErr w:type="spellEnd"/>
      <w:r w:rsidRPr="0008092A">
        <w:rPr>
          <w:color w:val="000000" w:themeColor="text1"/>
          <w:szCs w:val="24"/>
          <w:lang w:val="en-US"/>
        </w:rPr>
        <w:t xml:space="preserve"> J, Lehnert P. Is the Forrest classification a useful tool for planning endoscopic therapy of bleeding peptic </w:t>
      </w:r>
      <w:proofErr w:type="gramStart"/>
      <w:r w:rsidRPr="0008092A">
        <w:rPr>
          <w:color w:val="000000" w:themeColor="text1"/>
          <w:szCs w:val="24"/>
          <w:lang w:val="en-US"/>
        </w:rPr>
        <w:t>ulcers?.</w:t>
      </w:r>
      <w:proofErr w:type="gramEnd"/>
      <w:r w:rsidRPr="0008092A">
        <w:rPr>
          <w:color w:val="000000" w:themeColor="text1"/>
          <w:szCs w:val="24"/>
          <w:lang w:val="en-US"/>
        </w:rPr>
        <w:t xml:space="preserve"> Endoscopy. 1989;21(6):258-262. doi:10.1055/s-2007-1010729</w:t>
      </w:r>
      <w:r w:rsidRPr="0008092A">
        <w:rPr>
          <w:color w:val="000000" w:themeColor="text1"/>
          <w:szCs w:val="24"/>
        </w:rPr>
        <w:t>.</w:t>
      </w:r>
    </w:p>
    <w:p w14:paraId="1A8D1A16" w14:textId="77777777" w:rsidR="00BC5B28" w:rsidRPr="00BC5B28" w:rsidRDefault="00BC5B28" w:rsidP="00BC5B2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proofErr w:type="spellStart"/>
      <w:r w:rsidRPr="00BC5B28">
        <w:rPr>
          <w:color w:val="000000" w:themeColor="text1"/>
          <w:szCs w:val="24"/>
          <w:lang w:val="en-US"/>
        </w:rPr>
        <w:t>Barkun</w:t>
      </w:r>
      <w:proofErr w:type="spellEnd"/>
      <w:r w:rsidRPr="00BC5B28">
        <w:rPr>
          <w:color w:val="000000" w:themeColor="text1"/>
          <w:szCs w:val="24"/>
          <w:lang w:val="en-US"/>
        </w:rPr>
        <w:t xml:space="preserve"> AN, Martel M, </w:t>
      </w:r>
      <w:proofErr w:type="spellStart"/>
      <w:r w:rsidRPr="00BC5B28">
        <w:rPr>
          <w:color w:val="000000" w:themeColor="text1"/>
          <w:szCs w:val="24"/>
          <w:lang w:val="en-US"/>
        </w:rPr>
        <w:t>Toubouti</w:t>
      </w:r>
      <w:proofErr w:type="spellEnd"/>
      <w:r w:rsidRPr="00BC5B28">
        <w:rPr>
          <w:color w:val="000000" w:themeColor="text1"/>
          <w:szCs w:val="24"/>
          <w:lang w:val="en-US"/>
        </w:rPr>
        <w:t xml:space="preserve"> Y, Rahme E, Bardou M. Endoscopic hemostasis in peptic ulcer bleeding for patients with high-risk lesions: a series of meta-analyses. </w:t>
      </w:r>
      <w:proofErr w:type="spellStart"/>
      <w:r w:rsidRPr="00BC5B28">
        <w:rPr>
          <w:color w:val="000000" w:themeColor="text1"/>
          <w:szCs w:val="24"/>
          <w:lang w:val="en-US"/>
        </w:rPr>
        <w:t>Gastrointest</w:t>
      </w:r>
      <w:proofErr w:type="spellEnd"/>
      <w:r w:rsidRPr="00BC5B28">
        <w:rPr>
          <w:color w:val="000000" w:themeColor="text1"/>
          <w:szCs w:val="24"/>
          <w:lang w:val="en-US"/>
        </w:rPr>
        <w:t xml:space="preserve"> </w:t>
      </w:r>
      <w:proofErr w:type="spellStart"/>
      <w:r w:rsidRPr="00BC5B28">
        <w:rPr>
          <w:color w:val="000000" w:themeColor="text1"/>
          <w:szCs w:val="24"/>
          <w:lang w:val="en-US"/>
        </w:rPr>
        <w:t>Endosc</w:t>
      </w:r>
      <w:proofErr w:type="spellEnd"/>
      <w:r w:rsidRPr="00BC5B28">
        <w:rPr>
          <w:color w:val="000000" w:themeColor="text1"/>
          <w:szCs w:val="24"/>
          <w:lang w:val="en-US"/>
        </w:rPr>
        <w:t xml:space="preserve">. 2009;69(4):786-799. </w:t>
      </w:r>
      <w:proofErr w:type="gramStart"/>
      <w:r w:rsidRPr="00BC5B28">
        <w:rPr>
          <w:color w:val="000000" w:themeColor="text1"/>
          <w:szCs w:val="24"/>
          <w:lang w:val="en-US"/>
        </w:rPr>
        <w:t>doi:10.1016/j.gie</w:t>
      </w:r>
      <w:proofErr w:type="gramEnd"/>
      <w:r w:rsidRPr="00BC5B28">
        <w:rPr>
          <w:color w:val="000000" w:themeColor="text1"/>
          <w:szCs w:val="24"/>
          <w:lang w:val="en-US"/>
        </w:rPr>
        <w:t>.2008.05.031</w:t>
      </w:r>
      <w:r w:rsidRPr="00BC5B28">
        <w:rPr>
          <w:color w:val="000000" w:themeColor="text1"/>
          <w:szCs w:val="24"/>
        </w:rPr>
        <w:t>.</w:t>
      </w:r>
    </w:p>
    <w:p w14:paraId="7474F6CF" w14:textId="77777777" w:rsidR="00BC5B28" w:rsidRPr="00BC5B28" w:rsidRDefault="00BC5B28" w:rsidP="00BC5B2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proofErr w:type="spellStart"/>
      <w:r w:rsidRPr="00BC5B28">
        <w:rPr>
          <w:color w:val="000000" w:themeColor="text1"/>
          <w:szCs w:val="24"/>
          <w:lang w:val="de-DE"/>
        </w:rPr>
        <w:t>Thorsen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K, </w:t>
      </w:r>
      <w:proofErr w:type="spellStart"/>
      <w:r w:rsidRPr="00BC5B28">
        <w:rPr>
          <w:color w:val="000000" w:themeColor="text1"/>
          <w:szCs w:val="24"/>
          <w:lang w:val="de-DE"/>
        </w:rPr>
        <w:t>Glomsaker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TB, von Meer A, </w:t>
      </w:r>
      <w:proofErr w:type="spellStart"/>
      <w:r w:rsidRPr="00BC5B28">
        <w:rPr>
          <w:color w:val="000000" w:themeColor="text1"/>
          <w:szCs w:val="24"/>
          <w:lang w:val="de-DE"/>
        </w:rPr>
        <w:t>Søreide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K, </w:t>
      </w:r>
      <w:proofErr w:type="spellStart"/>
      <w:r w:rsidRPr="00BC5B28">
        <w:rPr>
          <w:color w:val="000000" w:themeColor="text1"/>
          <w:szCs w:val="24"/>
          <w:lang w:val="de-DE"/>
        </w:rPr>
        <w:t>Søreide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JA. Trends in </w:t>
      </w:r>
      <w:proofErr w:type="spellStart"/>
      <w:r w:rsidRPr="00BC5B28">
        <w:rPr>
          <w:color w:val="000000" w:themeColor="text1"/>
          <w:szCs w:val="24"/>
          <w:lang w:val="de-DE"/>
        </w:rPr>
        <w:t>diagnosis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and </w:t>
      </w:r>
      <w:proofErr w:type="spellStart"/>
      <w:r w:rsidRPr="00BC5B28">
        <w:rPr>
          <w:color w:val="000000" w:themeColor="text1"/>
          <w:szCs w:val="24"/>
          <w:lang w:val="de-DE"/>
        </w:rPr>
        <w:t>surgical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management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of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patients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with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perforated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peptic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ulcer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. J </w:t>
      </w:r>
      <w:proofErr w:type="spellStart"/>
      <w:r w:rsidRPr="00BC5B28">
        <w:rPr>
          <w:color w:val="000000" w:themeColor="text1"/>
          <w:szCs w:val="24"/>
          <w:lang w:val="de-DE"/>
        </w:rPr>
        <w:t>Gastrointest</w:t>
      </w:r>
      <w:proofErr w:type="spellEnd"/>
      <w:r w:rsidRPr="00BC5B28">
        <w:rPr>
          <w:color w:val="000000" w:themeColor="text1"/>
          <w:szCs w:val="24"/>
          <w:lang w:val="de-DE"/>
        </w:rPr>
        <w:t xml:space="preserve"> </w:t>
      </w:r>
      <w:proofErr w:type="spellStart"/>
      <w:r w:rsidRPr="00BC5B28">
        <w:rPr>
          <w:color w:val="000000" w:themeColor="text1"/>
          <w:szCs w:val="24"/>
          <w:lang w:val="de-DE"/>
        </w:rPr>
        <w:t>Surg</w:t>
      </w:r>
      <w:proofErr w:type="spellEnd"/>
      <w:r w:rsidRPr="00BC5B28">
        <w:rPr>
          <w:color w:val="000000" w:themeColor="text1"/>
          <w:szCs w:val="24"/>
          <w:lang w:val="de-DE"/>
        </w:rPr>
        <w:t>. 2011;15(8):1329-1335. doi:10.1007/s11605-011-1482-1</w:t>
      </w:r>
      <w:r w:rsidRPr="00BC5B28">
        <w:rPr>
          <w:color w:val="000000" w:themeColor="text1"/>
          <w:szCs w:val="24"/>
        </w:rPr>
        <w:t>.</w:t>
      </w:r>
    </w:p>
    <w:p w14:paraId="48B1CC1E" w14:textId="77777777" w:rsidR="00D12D2B" w:rsidRPr="009352B1" w:rsidRDefault="00BC5B28" w:rsidP="00D12D2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BC5B28">
        <w:rPr>
          <w:color w:val="000000" w:themeColor="text1"/>
          <w:szCs w:val="24"/>
          <w:lang w:val="en-US"/>
        </w:rPr>
        <w:t>Satoh K, Yoshino J, Akamatsu T, et al. Evidence-based clinical practice guidelines for peptic ulcer disease 2015. J Gastroenterol. 2016;51(3):177-194. doi:10.1007/s00535-016-1166-4</w:t>
      </w:r>
      <w:r w:rsidRPr="009352B1">
        <w:rPr>
          <w:color w:val="000000" w:themeColor="text1"/>
          <w:szCs w:val="24"/>
          <w:lang w:val="en-US"/>
        </w:rPr>
        <w:t>.</w:t>
      </w:r>
    </w:p>
    <w:p w14:paraId="1DED48D3" w14:textId="77777777" w:rsidR="005D5D3C" w:rsidRPr="005D5D3C" w:rsidRDefault="008F2ED7" w:rsidP="005D5D3C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D12D2B">
        <w:rPr>
          <w:color w:val="000000" w:themeColor="text1"/>
          <w:szCs w:val="24"/>
        </w:rPr>
        <w:t xml:space="preserve">Прободная язва у взрослых. Клинические рекомендации Российского общества хирургов. МЗ РФ, 2016: </w:t>
      </w:r>
      <w:r w:rsidR="00D12D2B" w:rsidRPr="00D12D2B">
        <w:rPr>
          <w:color w:val="000000" w:themeColor="text1"/>
          <w:szCs w:val="24"/>
        </w:rPr>
        <w:t>1–50</w:t>
      </w:r>
      <w:r w:rsidRPr="00D12D2B">
        <w:rPr>
          <w:color w:val="000000" w:themeColor="text1"/>
          <w:szCs w:val="24"/>
        </w:rPr>
        <w:t>.</w:t>
      </w:r>
    </w:p>
    <w:p w14:paraId="7FC6F30D" w14:textId="77777777" w:rsidR="009528BD" w:rsidRPr="009528BD" w:rsidRDefault="008F2ED7" w:rsidP="009528B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5D5D3C">
        <w:rPr>
          <w:color w:val="000000" w:themeColor="text1"/>
          <w:szCs w:val="24"/>
        </w:rPr>
        <w:t xml:space="preserve">Тарасенко </w:t>
      </w:r>
      <w:proofErr w:type="gramStart"/>
      <w:r w:rsidRPr="005D5D3C">
        <w:rPr>
          <w:color w:val="000000" w:themeColor="text1"/>
          <w:szCs w:val="24"/>
        </w:rPr>
        <w:t>С.В</w:t>
      </w:r>
      <w:proofErr w:type="gramEnd"/>
      <w:r w:rsidRPr="005D5D3C">
        <w:rPr>
          <w:color w:val="000000" w:themeColor="text1"/>
          <w:szCs w:val="24"/>
        </w:rPr>
        <w:t xml:space="preserve">, Зайцев О.В., </w:t>
      </w:r>
      <w:proofErr w:type="spellStart"/>
      <w:r w:rsidRPr="005D5D3C">
        <w:rPr>
          <w:color w:val="000000" w:themeColor="text1"/>
          <w:szCs w:val="24"/>
        </w:rPr>
        <w:t>Кочуков</w:t>
      </w:r>
      <w:proofErr w:type="spellEnd"/>
      <w:r w:rsidRPr="005D5D3C">
        <w:rPr>
          <w:color w:val="000000" w:themeColor="text1"/>
          <w:szCs w:val="24"/>
        </w:rPr>
        <w:t xml:space="preserve"> В.П. и др. Хирургия осложненной язвенной болезни. Воронеж</w:t>
      </w:r>
      <w:r w:rsidR="007E1630">
        <w:rPr>
          <w:color w:val="000000" w:themeColor="text1"/>
          <w:szCs w:val="24"/>
        </w:rPr>
        <w:t>.</w:t>
      </w:r>
      <w:r w:rsidRPr="005D5D3C">
        <w:rPr>
          <w:color w:val="000000" w:themeColor="text1"/>
          <w:szCs w:val="24"/>
        </w:rPr>
        <w:t xml:space="preserve"> Проспект</w:t>
      </w:r>
      <w:r w:rsidR="009528BD">
        <w:rPr>
          <w:color w:val="000000" w:themeColor="text1"/>
          <w:szCs w:val="24"/>
        </w:rPr>
        <w:t>.</w:t>
      </w:r>
      <w:r w:rsidR="007E1630">
        <w:rPr>
          <w:color w:val="000000" w:themeColor="text1"/>
          <w:szCs w:val="24"/>
        </w:rPr>
        <w:t xml:space="preserve"> - </w:t>
      </w:r>
      <w:r w:rsidRPr="005D5D3C">
        <w:rPr>
          <w:color w:val="000000" w:themeColor="text1"/>
          <w:szCs w:val="24"/>
        </w:rPr>
        <w:t xml:space="preserve"> 201</w:t>
      </w:r>
      <w:r w:rsidR="00840A4A" w:rsidRPr="005D5D3C">
        <w:rPr>
          <w:color w:val="000000" w:themeColor="text1"/>
          <w:szCs w:val="24"/>
        </w:rPr>
        <w:t>.</w:t>
      </w:r>
    </w:p>
    <w:p w14:paraId="1E2E5A8A" w14:textId="77777777" w:rsidR="009528BD" w:rsidRPr="009528BD" w:rsidRDefault="009528BD" w:rsidP="009528BD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B554D1">
        <w:rPr>
          <w:color w:val="000000" w:themeColor="text1"/>
          <w:szCs w:val="24"/>
          <w:lang w:val="en-US"/>
        </w:rPr>
        <w:t xml:space="preserve">Chatten K, </w:t>
      </w:r>
      <w:proofErr w:type="spellStart"/>
      <w:r w:rsidRPr="00B554D1">
        <w:rPr>
          <w:color w:val="000000" w:themeColor="text1"/>
          <w:szCs w:val="24"/>
          <w:lang w:val="en-US"/>
        </w:rPr>
        <w:t>Purssell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H, Banerjee AK, </w:t>
      </w:r>
      <w:proofErr w:type="spellStart"/>
      <w:r w:rsidRPr="00B554D1">
        <w:rPr>
          <w:color w:val="000000" w:themeColor="text1"/>
          <w:szCs w:val="24"/>
          <w:lang w:val="en-US"/>
        </w:rPr>
        <w:t>Soteriadou</w:t>
      </w:r>
      <w:proofErr w:type="spellEnd"/>
      <w:r w:rsidRPr="00B554D1">
        <w:rPr>
          <w:color w:val="000000" w:themeColor="text1"/>
          <w:szCs w:val="24"/>
          <w:lang w:val="en-US"/>
        </w:rPr>
        <w:t xml:space="preserve"> S, Ang Y. Glasgow Blatchford Score and risk stratifications in acute upper gastrointestinal bleed: can we extend this to 2 for urgent outpatient </w:t>
      </w:r>
      <w:proofErr w:type="gramStart"/>
      <w:r w:rsidRPr="00B554D1">
        <w:rPr>
          <w:color w:val="000000" w:themeColor="text1"/>
          <w:szCs w:val="24"/>
          <w:lang w:val="en-US"/>
        </w:rPr>
        <w:t>management?.</w:t>
      </w:r>
      <w:proofErr w:type="gramEnd"/>
      <w:r w:rsidRPr="00B554D1">
        <w:rPr>
          <w:color w:val="000000" w:themeColor="text1"/>
          <w:szCs w:val="24"/>
          <w:lang w:val="en-US"/>
        </w:rPr>
        <w:t xml:space="preserve"> </w:t>
      </w:r>
      <w:proofErr w:type="spellStart"/>
      <w:r w:rsidRPr="009528BD">
        <w:rPr>
          <w:color w:val="000000" w:themeColor="text1"/>
          <w:szCs w:val="24"/>
        </w:rPr>
        <w:t>Clin</w:t>
      </w:r>
      <w:proofErr w:type="spellEnd"/>
      <w:r w:rsidRPr="009528BD">
        <w:rPr>
          <w:color w:val="000000" w:themeColor="text1"/>
          <w:szCs w:val="24"/>
        </w:rPr>
        <w:t xml:space="preserve"> </w:t>
      </w:r>
      <w:proofErr w:type="spellStart"/>
      <w:r w:rsidRPr="009528BD">
        <w:rPr>
          <w:color w:val="000000" w:themeColor="text1"/>
          <w:szCs w:val="24"/>
        </w:rPr>
        <w:t>Med</w:t>
      </w:r>
      <w:proofErr w:type="spellEnd"/>
      <w:r w:rsidRPr="009528BD">
        <w:rPr>
          <w:color w:val="000000" w:themeColor="text1"/>
          <w:szCs w:val="24"/>
        </w:rPr>
        <w:t xml:space="preserve"> (</w:t>
      </w:r>
      <w:proofErr w:type="spellStart"/>
      <w:r w:rsidRPr="009528BD">
        <w:rPr>
          <w:color w:val="000000" w:themeColor="text1"/>
          <w:szCs w:val="24"/>
        </w:rPr>
        <w:t>Lond</w:t>
      </w:r>
      <w:proofErr w:type="spellEnd"/>
      <w:r w:rsidRPr="009528BD">
        <w:rPr>
          <w:color w:val="000000" w:themeColor="text1"/>
          <w:szCs w:val="24"/>
        </w:rPr>
        <w:t>). 2018;18(2):118-122. doi:10.7861/clinmedicine.18-2-118.</w:t>
      </w:r>
    </w:p>
    <w:p w14:paraId="483AA6AB" w14:textId="77777777" w:rsidR="00656AA8" w:rsidRPr="00B554D1" w:rsidRDefault="009528BD" w:rsidP="00656AA8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 w:rsidRPr="009528BD">
        <w:rPr>
          <w:color w:val="000000" w:themeColor="text1"/>
          <w:szCs w:val="24"/>
          <w:lang w:val="en-US"/>
        </w:rPr>
        <w:t xml:space="preserve">Farrar FC. Management of Acute Gastrointestinal Bleed. Crit Care </w:t>
      </w:r>
      <w:proofErr w:type="spellStart"/>
      <w:r w:rsidRPr="009528BD">
        <w:rPr>
          <w:color w:val="000000" w:themeColor="text1"/>
          <w:szCs w:val="24"/>
          <w:lang w:val="en-US"/>
        </w:rPr>
        <w:t>Nurs</w:t>
      </w:r>
      <w:proofErr w:type="spellEnd"/>
      <w:r w:rsidRPr="009528BD">
        <w:rPr>
          <w:color w:val="000000" w:themeColor="text1"/>
          <w:szCs w:val="24"/>
          <w:lang w:val="en-US"/>
        </w:rPr>
        <w:t xml:space="preserve"> Clin North Am. 2018;30(1):55-66. </w:t>
      </w:r>
      <w:proofErr w:type="gramStart"/>
      <w:r w:rsidRPr="009528BD">
        <w:rPr>
          <w:color w:val="000000" w:themeColor="text1"/>
          <w:szCs w:val="24"/>
          <w:lang w:val="en-US"/>
        </w:rPr>
        <w:t>doi:10.1016/j.cnc</w:t>
      </w:r>
      <w:proofErr w:type="gramEnd"/>
      <w:r w:rsidRPr="009528BD">
        <w:rPr>
          <w:color w:val="000000" w:themeColor="text1"/>
          <w:szCs w:val="24"/>
          <w:lang w:val="en-US"/>
        </w:rPr>
        <w:t>.2017.10.005</w:t>
      </w:r>
      <w:r w:rsidRPr="00B554D1">
        <w:rPr>
          <w:color w:val="000000" w:themeColor="text1"/>
          <w:szCs w:val="24"/>
          <w:lang w:val="en-US"/>
        </w:rPr>
        <w:t>.</w:t>
      </w:r>
      <w:r w:rsidR="005F2A14" w:rsidRPr="009528BD">
        <w:rPr>
          <w:color w:val="000000" w:themeColor="text1"/>
          <w:szCs w:val="24"/>
          <w:lang w:val="en-US"/>
        </w:rPr>
        <w:tab/>
      </w:r>
    </w:p>
    <w:p w14:paraId="1E477DD3" w14:textId="77777777" w:rsidR="00520575" w:rsidRPr="00520575" w:rsidRDefault="00656AA8" w:rsidP="00520575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proofErr w:type="spellStart"/>
      <w:r w:rsidRPr="00656AA8">
        <w:rPr>
          <w:color w:val="000000" w:themeColor="text1"/>
          <w:szCs w:val="24"/>
          <w:lang w:val="en-US"/>
        </w:rPr>
        <w:t>Leontiadis</w:t>
      </w:r>
      <w:proofErr w:type="spellEnd"/>
      <w:r w:rsidRPr="00656AA8">
        <w:rPr>
          <w:color w:val="000000" w:themeColor="text1"/>
          <w:szCs w:val="24"/>
          <w:lang w:val="en-US"/>
        </w:rPr>
        <w:t xml:space="preserve"> G.I., Molloy-Bland M., </w:t>
      </w:r>
      <w:proofErr w:type="spellStart"/>
      <w:r w:rsidRPr="00656AA8">
        <w:rPr>
          <w:color w:val="000000" w:themeColor="text1"/>
          <w:szCs w:val="24"/>
          <w:lang w:val="en-US"/>
        </w:rPr>
        <w:t>Moayyedi</w:t>
      </w:r>
      <w:proofErr w:type="spellEnd"/>
      <w:r w:rsidRPr="00656AA8">
        <w:rPr>
          <w:color w:val="000000" w:themeColor="text1"/>
          <w:szCs w:val="24"/>
          <w:lang w:val="en-US"/>
        </w:rPr>
        <w:t xml:space="preserve"> P., Howden C.W. Effect of comorbidity on mortality in patients with peptic ulcer bleeding: systematic review and meta-analysis. Am J Gastroenterol 2013</w:t>
      </w:r>
      <w:r w:rsidRPr="00656AA8">
        <w:rPr>
          <w:color w:val="000000" w:themeColor="text1"/>
          <w:szCs w:val="24"/>
        </w:rPr>
        <w:t>.</w:t>
      </w:r>
    </w:p>
    <w:p w14:paraId="37AC8AB9" w14:textId="77777777" w:rsidR="00520575" w:rsidRPr="00D92AE8" w:rsidRDefault="00520575" w:rsidP="00520575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proofErr w:type="spellStart"/>
      <w:r w:rsidRPr="00520575">
        <w:rPr>
          <w:color w:val="000000" w:themeColor="text1"/>
          <w:szCs w:val="24"/>
          <w:lang w:val="en-US"/>
        </w:rPr>
        <w:t>Ecanow</w:t>
      </w:r>
      <w:proofErr w:type="spellEnd"/>
      <w:r w:rsidRPr="00520575">
        <w:rPr>
          <w:color w:val="000000" w:themeColor="text1"/>
          <w:szCs w:val="24"/>
          <w:lang w:val="en-US"/>
        </w:rPr>
        <w:t xml:space="preserve"> JS, Gore RM. Evaluating Patients with Left Upper Quadrant Pain. </w:t>
      </w:r>
      <w:proofErr w:type="spellStart"/>
      <w:r w:rsidRPr="00520575">
        <w:rPr>
          <w:color w:val="000000" w:themeColor="text1"/>
          <w:szCs w:val="24"/>
          <w:lang w:val="en-US"/>
        </w:rPr>
        <w:t>Radiol</w:t>
      </w:r>
      <w:proofErr w:type="spellEnd"/>
      <w:r w:rsidRPr="00520575">
        <w:rPr>
          <w:color w:val="000000" w:themeColor="text1"/>
          <w:szCs w:val="24"/>
          <w:lang w:val="en-US"/>
        </w:rPr>
        <w:t xml:space="preserve"> Clin North Am. 2015;53(6):1131-1157. </w:t>
      </w:r>
      <w:proofErr w:type="gramStart"/>
      <w:r w:rsidRPr="00520575">
        <w:rPr>
          <w:color w:val="000000" w:themeColor="text1"/>
          <w:szCs w:val="24"/>
          <w:lang w:val="en-US"/>
        </w:rPr>
        <w:t>doi:10.1016/j.rcl</w:t>
      </w:r>
      <w:proofErr w:type="gramEnd"/>
      <w:r w:rsidRPr="00520575">
        <w:rPr>
          <w:color w:val="000000" w:themeColor="text1"/>
          <w:szCs w:val="24"/>
          <w:lang w:val="en-US"/>
        </w:rPr>
        <w:t>.2015.06.003</w:t>
      </w:r>
      <w:r w:rsidRPr="00D92AE8">
        <w:rPr>
          <w:color w:val="000000" w:themeColor="text1"/>
          <w:szCs w:val="24"/>
          <w:lang w:val="en-US"/>
        </w:rPr>
        <w:t>.</w:t>
      </w:r>
    </w:p>
    <w:p w14:paraId="25A88D6F" w14:textId="4AD9A052" w:rsidR="00520575" w:rsidRPr="00023FBA" w:rsidRDefault="005C26FD" w:rsidP="00520575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>
        <w:rPr>
          <w:color w:val="000000" w:themeColor="text1"/>
          <w:szCs w:val="24"/>
          <w:lang w:val="en-US"/>
        </w:rPr>
        <w:t xml:space="preserve">Bose AC, Rate V., Ananthakrishnan N, Parija SC </w:t>
      </w:r>
      <w:proofErr w:type="spellStart"/>
      <w:r>
        <w:rPr>
          <w:color w:val="000000" w:themeColor="text1"/>
          <w:szCs w:val="24"/>
          <w:lang w:val="en-US"/>
        </w:rPr>
        <w:t>Helicobacte</w:t>
      </w:r>
      <w:proofErr w:type="spellEnd"/>
      <w:r>
        <w:rPr>
          <w:color w:val="000000" w:themeColor="text1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Cs w:val="24"/>
          <w:lang w:val="en-US"/>
        </w:rPr>
        <w:t>rpylori</w:t>
      </w:r>
      <w:proofErr w:type="spellEnd"/>
      <w:r>
        <w:rPr>
          <w:color w:val="000000" w:themeColor="text1"/>
          <w:szCs w:val="24"/>
          <w:lang w:val="en-US"/>
        </w:rPr>
        <w:t xml:space="preserve"> eradication prevents recurrence after simple closure of </w:t>
      </w:r>
      <w:proofErr w:type="gramStart"/>
      <w:r>
        <w:rPr>
          <w:color w:val="000000" w:themeColor="text1"/>
          <w:szCs w:val="24"/>
          <w:lang w:val="en-US"/>
        </w:rPr>
        <w:t>perforated  duodenal</w:t>
      </w:r>
      <w:proofErr w:type="gramEnd"/>
      <w:r>
        <w:rPr>
          <w:color w:val="000000" w:themeColor="text1"/>
          <w:szCs w:val="24"/>
          <w:lang w:val="en-US"/>
        </w:rPr>
        <w:t xml:space="preserve"> ulcer. J Gastroenterol Hepatol.  </w:t>
      </w:r>
      <w:proofErr w:type="gramStart"/>
      <w:r>
        <w:rPr>
          <w:color w:val="000000" w:themeColor="text1"/>
          <w:szCs w:val="24"/>
          <w:lang w:val="en-US"/>
        </w:rPr>
        <w:t>2007  Mar</w:t>
      </w:r>
      <w:proofErr w:type="gramEnd"/>
      <w:r>
        <w:rPr>
          <w:color w:val="000000" w:themeColor="text1"/>
          <w:szCs w:val="24"/>
          <w:lang w:val="en-US"/>
        </w:rPr>
        <w:t xml:space="preserve">;  22 (3):345-348. </w:t>
      </w:r>
      <w:proofErr w:type="spellStart"/>
      <w:r>
        <w:rPr>
          <w:color w:val="000000" w:themeColor="text1"/>
          <w:szCs w:val="24"/>
          <w:lang w:val="en-US"/>
        </w:rPr>
        <w:t>doi</w:t>
      </w:r>
      <w:proofErr w:type="spellEnd"/>
      <w:r>
        <w:rPr>
          <w:color w:val="000000" w:themeColor="text1"/>
          <w:szCs w:val="24"/>
          <w:lang w:val="en-US"/>
        </w:rPr>
        <w:t>: 10.1111/j.</w:t>
      </w:r>
      <w:r w:rsidR="00F241BA">
        <w:rPr>
          <w:color w:val="000000" w:themeColor="text1"/>
          <w:szCs w:val="24"/>
          <w:lang w:val="en-US"/>
        </w:rPr>
        <w:t>1440-1746.2006.</w:t>
      </w:r>
      <w:proofErr w:type="gramStart"/>
      <w:r w:rsidR="00F241BA">
        <w:rPr>
          <w:color w:val="000000" w:themeColor="text1"/>
          <w:szCs w:val="24"/>
          <w:lang w:val="en-US"/>
        </w:rPr>
        <w:t>04490.x.</w:t>
      </w:r>
      <w:proofErr w:type="gramEnd"/>
    </w:p>
    <w:p w14:paraId="4BA2D094" w14:textId="265BA786" w:rsidR="00CB2BFB" w:rsidRPr="00CB2BFB" w:rsidRDefault="00520575" w:rsidP="00CB2BFB">
      <w:pPr>
        <w:pStyle w:val="aff"/>
        <w:numPr>
          <w:ilvl w:val="0"/>
          <w:numId w:val="4"/>
        </w:numPr>
        <w:spacing w:after="0" w:line="360" w:lineRule="auto"/>
        <w:ind w:left="0" w:right="284" w:firstLine="0"/>
        <w:rPr>
          <w:color w:val="000000" w:themeColor="text1"/>
        </w:rPr>
      </w:pPr>
      <w:r w:rsidRPr="00520575">
        <w:rPr>
          <w:color w:val="000000" w:themeColor="text1"/>
          <w:szCs w:val="24"/>
          <w:lang w:val="en-US"/>
        </w:rPr>
        <w:t xml:space="preserve">Sharma VK, Sahai AV, Corder FA, </w:t>
      </w:r>
      <w:proofErr w:type="spellStart"/>
      <w:r w:rsidRPr="00520575">
        <w:rPr>
          <w:color w:val="000000" w:themeColor="text1"/>
          <w:szCs w:val="24"/>
          <w:lang w:val="en-US"/>
        </w:rPr>
        <w:t>Howden</w:t>
      </w:r>
      <w:proofErr w:type="spellEnd"/>
      <w:r w:rsidRPr="00520575">
        <w:rPr>
          <w:color w:val="000000" w:themeColor="text1"/>
          <w:szCs w:val="24"/>
          <w:lang w:val="en-US"/>
        </w:rPr>
        <w:t xml:space="preserve"> CW. Helicobacter pylori eradication is superior to ulcer healing with or without maintenance therapy to prevent further ulcer </w:t>
      </w:r>
      <w:proofErr w:type="spellStart"/>
      <w:r w:rsidRPr="00520575">
        <w:rPr>
          <w:color w:val="000000" w:themeColor="text1"/>
          <w:szCs w:val="24"/>
          <w:lang w:val="en-US"/>
        </w:rPr>
        <w:t>haemorrhage</w:t>
      </w:r>
      <w:proofErr w:type="spellEnd"/>
      <w:r w:rsidRPr="00520575">
        <w:rPr>
          <w:color w:val="000000" w:themeColor="text1"/>
          <w:szCs w:val="24"/>
          <w:lang w:val="en-US"/>
        </w:rPr>
        <w:t>. Aliment</w:t>
      </w:r>
      <w:r w:rsidRPr="00464AFD">
        <w:rPr>
          <w:color w:val="000000" w:themeColor="text1"/>
          <w:szCs w:val="24"/>
          <w:lang w:val="en-US"/>
        </w:rPr>
        <w:t xml:space="preserve"> </w:t>
      </w:r>
      <w:proofErr w:type="spellStart"/>
      <w:r w:rsidRPr="00520575">
        <w:rPr>
          <w:color w:val="000000" w:themeColor="text1"/>
          <w:szCs w:val="24"/>
          <w:lang w:val="en-US"/>
        </w:rPr>
        <w:t>Pharmacol</w:t>
      </w:r>
      <w:proofErr w:type="spellEnd"/>
      <w:r w:rsidRPr="00464AFD">
        <w:rPr>
          <w:color w:val="000000" w:themeColor="text1"/>
          <w:szCs w:val="24"/>
          <w:lang w:val="en-US"/>
        </w:rPr>
        <w:t xml:space="preserve"> </w:t>
      </w:r>
      <w:r w:rsidRPr="00520575">
        <w:rPr>
          <w:color w:val="000000" w:themeColor="text1"/>
          <w:szCs w:val="24"/>
          <w:lang w:val="en-US"/>
        </w:rPr>
        <w:t>Ther</w:t>
      </w:r>
      <w:r w:rsidRPr="00464AFD">
        <w:rPr>
          <w:color w:val="000000" w:themeColor="text1"/>
          <w:szCs w:val="24"/>
          <w:lang w:val="en-US"/>
        </w:rPr>
        <w:t xml:space="preserve">. 2001;15(12):1939-1947. </w:t>
      </w:r>
      <w:r w:rsidRPr="00520575">
        <w:rPr>
          <w:color w:val="000000" w:themeColor="text1"/>
          <w:szCs w:val="24"/>
          <w:lang w:val="en-US"/>
        </w:rPr>
        <w:t>doi</w:t>
      </w:r>
      <w:r w:rsidRPr="00464AFD">
        <w:rPr>
          <w:color w:val="000000" w:themeColor="text1"/>
          <w:szCs w:val="24"/>
          <w:lang w:val="en-US"/>
        </w:rPr>
        <w:t>:10.1046/</w:t>
      </w:r>
      <w:r w:rsidRPr="00520575">
        <w:rPr>
          <w:color w:val="000000" w:themeColor="text1"/>
          <w:szCs w:val="24"/>
          <w:lang w:val="en-US"/>
        </w:rPr>
        <w:t>j</w:t>
      </w:r>
      <w:r w:rsidRPr="00464AFD">
        <w:rPr>
          <w:color w:val="000000" w:themeColor="text1"/>
          <w:szCs w:val="24"/>
          <w:lang w:val="en-US"/>
        </w:rPr>
        <w:t>.1365-</w:t>
      </w:r>
      <w:r w:rsidRPr="00464AFD">
        <w:rPr>
          <w:color w:val="000000" w:themeColor="text1"/>
          <w:szCs w:val="24"/>
          <w:lang w:val="en-US"/>
        </w:rPr>
        <w:lastRenderedPageBreak/>
        <w:t>2036.</w:t>
      </w:r>
      <w:proofErr w:type="gramStart"/>
      <w:r w:rsidRPr="00464AFD">
        <w:rPr>
          <w:color w:val="000000" w:themeColor="text1"/>
          <w:szCs w:val="24"/>
          <w:lang w:val="en-US"/>
        </w:rPr>
        <w:t>2001.01134.</w:t>
      </w:r>
      <w:r w:rsidRPr="00520575">
        <w:rPr>
          <w:color w:val="000000" w:themeColor="text1"/>
          <w:szCs w:val="24"/>
          <w:lang w:val="en-US"/>
        </w:rPr>
        <w:t>x</w:t>
      </w:r>
      <w:proofErr w:type="gramEnd"/>
      <w:r w:rsidR="00CB2BFB" w:rsidRPr="00464AFD">
        <w:rPr>
          <w:color w:val="000000" w:themeColor="text1"/>
          <w:szCs w:val="24"/>
          <w:lang w:val="en-US"/>
        </w:rPr>
        <w:br/>
      </w:r>
      <w:r w:rsidR="00CB2BFB" w:rsidRPr="00464AFD">
        <w:rPr>
          <w:color w:val="000000" w:themeColor="text1"/>
          <w:szCs w:val="24"/>
          <w:lang w:val="en-US"/>
        </w:rPr>
        <w:br/>
      </w:r>
      <w:r w:rsidR="00CB2BFB" w:rsidRPr="00464AFD">
        <w:rPr>
          <w:color w:val="000000" w:themeColor="text1"/>
          <w:szCs w:val="24"/>
          <w:lang w:val="en-US"/>
        </w:rPr>
        <w:br/>
      </w:r>
      <w:r w:rsidR="004A0BAA" w:rsidRPr="00464AFD">
        <w:rPr>
          <w:lang w:val="en-US"/>
        </w:rPr>
        <w:t>215</w:t>
      </w:r>
      <w:r w:rsidR="00CB2BFB" w:rsidRPr="00464AFD">
        <w:rPr>
          <w:lang w:val="en-US"/>
        </w:rPr>
        <w:t xml:space="preserve">. </w:t>
      </w:r>
      <w:r w:rsidR="00CB2BFB">
        <w:t xml:space="preserve">«Закономерность развития разрывно-геморрагического синдрома у человека (Синдрома </w:t>
      </w:r>
      <w:proofErr w:type="spellStart"/>
      <w:r w:rsidR="00CB2BFB">
        <w:t>Меллори</w:t>
      </w:r>
      <w:proofErr w:type="spellEnd"/>
      <w:r w:rsidR="00CB2BFB">
        <w:t xml:space="preserve"> – </w:t>
      </w:r>
      <w:proofErr w:type="spellStart"/>
      <w:r w:rsidR="00CB2BFB">
        <w:t>Вейсса</w:t>
      </w:r>
      <w:proofErr w:type="spellEnd"/>
      <w:r w:rsidR="00CB2BFB">
        <w:t xml:space="preserve">)» Авторы открытия: Чередников Евгений Федорович Малеев, Юрий Валентинович </w:t>
      </w:r>
      <w:proofErr w:type="spellStart"/>
      <w:r w:rsidR="00CB2BFB">
        <w:t>Баткаев</w:t>
      </w:r>
      <w:proofErr w:type="spellEnd"/>
      <w:r w:rsidR="00CB2BFB" w:rsidRPr="00CB2BFB">
        <w:t>,</w:t>
      </w:r>
      <w:r w:rsidR="00CB2BFB">
        <w:t xml:space="preserve"> Альберт </w:t>
      </w:r>
      <w:proofErr w:type="spellStart"/>
      <w:r w:rsidR="00CB2BFB">
        <w:t>Рястямович</w:t>
      </w:r>
      <w:proofErr w:type="spellEnd"/>
      <w:r w:rsidR="00CB2BFB">
        <w:t xml:space="preserve"> Черных</w:t>
      </w:r>
      <w:r w:rsidR="00CB2BFB" w:rsidRPr="00CB2BFB">
        <w:t>,</w:t>
      </w:r>
      <w:r w:rsidR="00CB2BFB">
        <w:t xml:space="preserve"> Александр Васильевич Аристов</w:t>
      </w:r>
    </w:p>
    <w:p w14:paraId="1BAB148A" w14:textId="11725289" w:rsidR="00CB2BFB" w:rsidRDefault="004A0BAA" w:rsidP="00A109C4">
      <w:pPr>
        <w:pStyle w:val="aff"/>
        <w:numPr>
          <w:ilvl w:val="0"/>
          <w:numId w:val="11"/>
        </w:numPr>
        <w:spacing w:after="0" w:line="360" w:lineRule="auto"/>
        <w:ind w:left="0" w:right="284" w:firstLine="0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</w:t>
      </w:r>
      <w:r w:rsidR="00CB2BFB" w:rsidRPr="00CB2BFB">
        <w:rPr>
          <w:color w:val="000000" w:themeColor="text1"/>
          <w:lang w:val="en-US"/>
        </w:rPr>
        <w:t xml:space="preserve">Saltzman JR. Acute Upper Gastrointestinal Bleeding. In: Friedman S, Blumberg RS, Saltzman JR. eds. Greenberger's CURRENT Diagnosis &amp; Treatment Gastroenterology, Hepatology, &amp; Endoscopy, 4e. McGraw Hill Education; 2022. Accessed June 10, 2025. </w:t>
      </w:r>
    </w:p>
    <w:p w14:paraId="2BE562D4" w14:textId="2A37962D" w:rsidR="004A0BAA" w:rsidRDefault="004A0BAA" w:rsidP="00A109C4">
      <w:pPr>
        <w:pStyle w:val="aff"/>
        <w:numPr>
          <w:ilvl w:val="0"/>
          <w:numId w:val="11"/>
        </w:numPr>
        <w:spacing w:after="0" w:line="360" w:lineRule="auto"/>
        <w:ind w:left="0" w:right="284" w:firstLine="0"/>
        <w:rPr>
          <w:color w:val="000000" w:themeColor="text1"/>
        </w:rPr>
      </w:pPr>
      <w:r w:rsidRPr="004A0BAA">
        <w:rPr>
          <w:color w:val="000000" w:themeColor="text1"/>
        </w:rPr>
        <w:t xml:space="preserve">Протокол ведения больных с желудочно-пищеводным разрывно- геморрагическим синдромом (синдром </w:t>
      </w:r>
      <w:proofErr w:type="spellStart"/>
      <w:r w:rsidRPr="004A0BAA">
        <w:rPr>
          <w:color w:val="000000" w:themeColor="text1"/>
        </w:rPr>
        <w:t>маллори-вейса</w:t>
      </w:r>
      <w:proofErr w:type="spellEnd"/>
      <w:r w:rsidRPr="004A0BAA">
        <w:rPr>
          <w:color w:val="000000" w:themeColor="text1"/>
        </w:rPr>
        <w:t>)</w:t>
      </w:r>
      <w:r>
        <w:rPr>
          <w:color w:val="000000" w:themeColor="text1"/>
        </w:rPr>
        <w:t xml:space="preserve"> / Материалы РОХ, 2014г.</w:t>
      </w:r>
    </w:p>
    <w:p w14:paraId="6551DD58" w14:textId="322C6F97" w:rsidR="004A0BAA" w:rsidRPr="004A0BAA" w:rsidRDefault="004A0BAA" w:rsidP="00A109C4">
      <w:pPr>
        <w:pStyle w:val="aff"/>
        <w:numPr>
          <w:ilvl w:val="0"/>
          <w:numId w:val="11"/>
        </w:numPr>
        <w:spacing w:after="0" w:line="360" w:lineRule="auto"/>
        <w:ind w:left="0" w:right="284" w:firstLine="0"/>
        <w:rPr>
          <w:color w:val="000000" w:themeColor="text1"/>
        </w:rPr>
      </w:pPr>
      <w:r w:rsidRPr="004A0BAA">
        <w:rPr>
          <w:color w:val="000000" w:themeColor="text1"/>
          <w:lang w:val="en-US"/>
        </w:rPr>
        <w:t>Mertens, Alexander MD*; Essing, Tobias</w:t>
      </w:r>
      <w:proofErr w:type="gramStart"/>
      <w:r w:rsidRPr="004A0BAA">
        <w:rPr>
          <w:color w:val="000000" w:themeColor="text1"/>
          <w:lang w:val="en-US"/>
        </w:rPr>
        <w:t>*,†</w:t>
      </w:r>
      <w:proofErr w:type="gramEnd"/>
      <w:r w:rsidRPr="004A0BAA">
        <w:rPr>
          <w:color w:val="000000" w:themeColor="text1"/>
          <w:lang w:val="en-US"/>
        </w:rPr>
        <w:t xml:space="preserve">; </w:t>
      </w:r>
      <w:proofErr w:type="spellStart"/>
      <w:r w:rsidRPr="004A0BAA">
        <w:rPr>
          <w:color w:val="000000" w:themeColor="text1"/>
          <w:lang w:val="en-US"/>
        </w:rPr>
        <w:t>Roderburg</w:t>
      </w:r>
      <w:proofErr w:type="spellEnd"/>
      <w:r w:rsidRPr="004A0BAA">
        <w:rPr>
          <w:color w:val="000000" w:themeColor="text1"/>
          <w:lang w:val="en-US"/>
        </w:rPr>
        <w:t xml:space="preserve">, Christoph MD*; Luedde, Tom MD*; Kandler, Jennis MD*; Loosen, Sven H. MD*. A Systematic Analysis of Incidence, Therapeutic Strategies, and In-hospital Mortality of Mallory-Weiss Syndrome in Germany. </w:t>
      </w:r>
      <w:r w:rsidRPr="004A0BAA">
        <w:rPr>
          <w:color w:val="000000" w:themeColor="text1"/>
        </w:rPr>
        <w:t xml:space="preserve">Journal </w:t>
      </w:r>
      <w:proofErr w:type="spellStart"/>
      <w:r w:rsidRPr="004A0BAA">
        <w:rPr>
          <w:color w:val="000000" w:themeColor="text1"/>
        </w:rPr>
        <w:t>of</w:t>
      </w:r>
      <w:proofErr w:type="spellEnd"/>
      <w:r w:rsidRPr="004A0BAA">
        <w:rPr>
          <w:color w:val="000000" w:themeColor="text1"/>
        </w:rPr>
        <w:t xml:space="preserve"> </w:t>
      </w:r>
      <w:proofErr w:type="spellStart"/>
      <w:r w:rsidRPr="004A0BAA">
        <w:rPr>
          <w:color w:val="000000" w:themeColor="text1"/>
        </w:rPr>
        <w:t>Clinical</w:t>
      </w:r>
      <w:proofErr w:type="spellEnd"/>
      <w:r w:rsidRPr="004A0BAA">
        <w:rPr>
          <w:color w:val="000000" w:themeColor="text1"/>
        </w:rPr>
        <w:t xml:space="preserve"> </w:t>
      </w:r>
      <w:proofErr w:type="spellStart"/>
      <w:r w:rsidRPr="004A0BAA">
        <w:rPr>
          <w:color w:val="000000" w:themeColor="text1"/>
        </w:rPr>
        <w:t>Gastroenterology</w:t>
      </w:r>
      <w:proofErr w:type="spellEnd"/>
      <w:r w:rsidRPr="004A0BAA">
        <w:rPr>
          <w:color w:val="000000" w:themeColor="text1"/>
        </w:rPr>
        <w:t xml:space="preserve"> 58(7</w:t>
      </w:r>
      <w:proofErr w:type="gramStart"/>
      <w:r w:rsidRPr="004A0BAA">
        <w:rPr>
          <w:color w:val="000000" w:themeColor="text1"/>
        </w:rPr>
        <w:t>):p</w:t>
      </w:r>
      <w:proofErr w:type="gramEnd"/>
      <w:r w:rsidRPr="004A0BAA">
        <w:rPr>
          <w:color w:val="000000" w:themeColor="text1"/>
        </w:rPr>
        <w:t xml:space="preserve"> 640-649, </w:t>
      </w:r>
      <w:proofErr w:type="spellStart"/>
      <w:r w:rsidRPr="004A0BAA">
        <w:rPr>
          <w:color w:val="000000" w:themeColor="text1"/>
        </w:rPr>
        <w:t>August</w:t>
      </w:r>
      <w:proofErr w:type="spellEnd"/>
      <w:r w:rsidRPr="004A0BAA">
        <w:rPr>
          <w:color w:val="000000" w:themeColor="text1"/>
        </w:rPr>
        <w:t xml:space="preserve"> 2024. | DOI: 10.1097/MCG.0000000000001918</w:t>
      </w:r>
    </w:p>
    <w:p w14:paraId="42C85D2B" w14:textId="77777777" w:rsidR="00CB2BFB" w:rsidRPr="004A0BAA" w:rsidRDefault="00CB2BFB" w:rsidP="00CB2BFB">
      <w:pPr>
        <w:pStyle w:val="aff"/>
        <w:spacing w:after="0" w:line="360" w:lineRule="auto"/>
        <w:ind w:left="363" w:right="284" w:firstLine="0"/>
        <w:rPr>
          <w:color w:val="000000" w:themeColor="text1"/>
          <w:szCs w:val="24"/>
        </w:rPr>
      </w:pPr>
    </w:p>
    <w:p w14:paraId="6C53F1C3" w14:textId="59E4DD52" w:rsidR="0042176E" w:rsidRDefault="00CB2BFB" w:rsidP="00CB2BFB">
      <w:pPr>
        <w:pStyle w:val="aff"/>
        <w:spacing w:after="0" w:line="360" w:lineRule="auto"/>
        <w:ind w:left="363" w:right="284" w:firstLine="0"/>
        <w:rPr>
          <w:color w:val="000000" w:themeColor="text1"/>
        </w:rPr>
      </w:pPr>
      <w:r w:rsidRPr="004A0BAA">
        <w:rPr>
          <w:color w:val="000000" w:themeColor="text1"/>
          <w:szCs w:val="24"/>
        </w:rPr>
        <w:br/>
      </w:r>
    </w:p>
    <w:p w14:paraId="3C0B70D3" w14:textId="77777777" w:rsidR="0042176E" w:rsidRDefault="0042176E">
      <w:pPr>
        <w:rPr>
          <w:color w:val="000000" w:themeColor="text1"/>
          <w:szCs w:val="22"/>
          <w:lang w:eastAsia="en-US"/>
        </w:rPr>
      </w:pPr>
      <w:r>
        <w:rPr>
          <w:color w:val="000000" w:themeColor="text1"/>
        </w:rPr>
        <w:br w:type="page"/>
      </w:r>
    </w:p>
    <w:p w14:paraId="738BEBE0" w14:textId="77777777" w:rsidR="00AE5B7A" w:rsidRPr="004A0BAA" w:rsidRDefault="00AE5B7A" w:rsidP="00CB2BFB">
      <w:pPr>
        <w:pStyle w:val="aff"/>
        <w:spacing w:after="0" w:line="360" w:lineRule="auto"/>
        <w:ind w:left="363" w:right="284" w:firstLine="0"/>
        <w:rPr>
          <w:color w:val="000000" w:themeColor="text1"/>
        </w:rPr>
      </w:pPr>
    </w:p>
    <w:p w14:paraId="5DC46F81" w14:textId="26BD4263" w:rsidR="00AE37FB" w:rsidRPr="008156B7" w:rsidRDefault="00A82A13" w:rsidP="00A82A13">
      <w:pPr>
        <w:spacing w:line="360" w:lineRule="auto"/>
        <w:rPr>
          <w:b/>
          <w:bCs/>
          <w:color w:val="000000" w:themeColor="text1"/>
        </w:rPr>
      </w:pPr>
      <w:r w:rsidRPr="004A0BAA">
        <w:rPr>
          <w:color w:val="000000" w:themeColor="text1"/>
        </w:rPr>
        <w:tab/>
      </w:r>
      <w:bookmarkStart w:id="87" w:name="_Toc26477709"/>
      <w:r w:rsidR="00F52CFD" w:rsidRPr="008156B7">
        <w:rPr>
          <w:b/>
          <w:bCs/>
          <w:color w:val="000000" w:themeColor="text1"/>
          <w:sz w:val="28"/>
          <w:szCs w:val="28"/>
        </w:rPr>
        <w:t>Приложение А1.</w:t>
      </w:r>
      <w:r w:rsidR="00F52CFD" w:rsidRPr="008156B7">
        <w:rPr>
          <w:b/>
          <w:bCs/>
          <w:color w:val="000000" w:themeColor="text1"/>
          <w:sz w:val="28"/>
          <w:szCs w:val="28"/>
        </w:rPr>
        <w:tab/>
        <w:t xml:space="preserve"> Состав рабочей группы по разработке и пересмотру</w:t>
      </w:r>
      <w:bookmarkEnd w:id="87"/>
    </w:p>
    <w:p w14:paraId="53F6928F" w14:textId="77777777" w:rsidR="00AE37FB" w:rsidRPr="008156B7" w:rsidRDefault="00F52CFD" w:rsidP="00A82A13">
      <w:pPr>
        <w:spacing w:line="360" w:lineRule="auto"/>
        <w:rPr>
          <w:color w:val="000000" w:themeColor="text1"/>
          <w:sz w:val="28"/>
          <w:szCs w:val="28"/>
        </w:rPr>
      </w:pPr>
      <w:r w:rsidRPr="008156B7">
        <w:rPr>
          <w:b/>
          <w:bCs/>
          <w:color w:val="000000" w:themeColor="text1"/>
          <w:sz w:val="28"/>
          <w:szCs w:val="28"/>
        </w:rPr>
        <w:t xml:space="preserve"> </w:t>
      </w:r>
      <w:r w:rsidR="00A82A13" w:rsidRPr="008156B7">
        <w:rPr>
          <w:b/>
          <w:bCs/>
          <w:color w:val="000000" w:themeColor="text1"/>
          <w:sz w:val="28"/>
          <w:szCs w:val="28"/>
        </w:rPr>
        <w:tab/>
      </w:r>
      <w:r w:rsidRPr="008156B7">
        <w:rPr>
          <w:b/>
          <w:bCs/>
          <w:color w:val="000000" w:themeColor="text1"/>
          <w:sz w:val="28"/>
          <w:szCs w:val="28"/>
        </w:rPr>
        <w:t>клинических рекомендаций</w:t>
      </w:r>
      <w:r w:rsidRPr="008156B7">
        <w:rPr>
          <w:color w:val="000000" w:themeColor="text1"/>
          <w:sz w:val="28"/>
          <w:szCs w:val="28"/>
        </w:rPr>
        <w:t xml:space="preserve"> </w:t>
      </w:r>
    </w:p>
    <w:p w14:paraId="44CF8384" w14:textId="5E401A22" w:rsidR="00A82A13" w:rsidRPr="009A2C01" w:rsidRDefault="00464623" w:rsidP="0042176E">
      <w:pPr>
        <w:pStyle w:val="af6"/>
        <w:numPr>
          <w:ilvl w:val="3"/>
          <w:numId w:val="13"/>
        </w:numPr>
        <w:spacing w:before="100" w:beforeAutospacing="1" w:after="100" w:afterAutospacing="1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A2C01">
        <w:rPr>
          <w:color w:val="000000" w:themeColor="text1"/>
          <w:sz w:val="28"/>
          <w:szCs w:val="28"/>
        </w:rPr>
        <w:t xml:space="preserve">Громов Д.Г., доктор медицинских наук, член </w:t>
      </w:r>
      <w:proofErr w:type="spellStart"/>
      <w:r w:rsidRPr="009A2C01">
        <w:rPr>
          <w:color w:val="000000" w:themeColor="text1"/>
          <w:sz w:val="28"/>
          <w:szCs w:val="28"/>
        </w:rPr>
        <w:t>Российского</w:t>
      </w:r>
      <w:proofErr w:type="spellEnd"/>
      <w:r w:rsidRPr="009A2C01">
        <w:rPr>
          <w:color w:val="000000" w:themeColor="text1"/>
          <w:sz w:val="28"/>
          <w:szCs w:val="28"/>
        </w:rPr>
        <w:t xml:space="preserve"> научного   </w:t>
      </w:r>
      <w:r w:rsidR="00F2118E" w:rsidRPr="009A2C01">
        <w:rPr>
          <w:color w:val="000000" w:themeColor="text1"/>
          <w:sz w:val="28"/>
          <w:szCs w:val="28"/>
        </w:rPr>
        <w:tab/>
        <w:t xml:space="preserve">      </w:t>
      </w:r>
      <w:r w:rsidRPr="009A2C01">
        <w:rPr>
          <w:color w:val="000000" w:themeColor="text1"/>
          <w:sz w:val="28"/>
          <w:szCs w:val="28"/>
        </w:rPr>
        <w:t xml:space="preserve">общества интервенционных </w:t>
      </w:r>
      <w:proofErr w:type="spellStart"/>
      <w:r w:rsidRPr="009A2C01">
        <w:rPr>
          <w:color w:val="000000" w:themeColor="text1"/>
          <w:sz w:val="28"/>
          <w:szCs w:val="28"/>
        </w:rPr>
        <w:t>кардиоангиологов</w:t>
      </w:r>
      <w:proofErr w:type="spellEnd"/>
      <w:r w:rsidRPr="009A2C01">
        <w:rPr>
          <w:color w:val="000000" w:themeColor="text1"/>
          <w:sz w:val="28"/>
          <w:szCs w:val="28"/>
        </w:rPr>
        <w:t xml:space="preserve">. Конфликт интересов </w:t>
      </w:r>
      <w:r w:rsidR="00F2118E" w:rsidRPr="009A2C01">
        <w:rPr>
          <w:color w:val="000000" w:themeColor="text1"/>
          <w:sz w:val="28"/>
          <w:szCs w:val="28"/>
        </w:rPr>
        <w:tab/>
        <w:t xml:space="preserve">      </w:t>
      </w:r>
      <w:r w:rsidR="009A46CB" w:rsidRPr="009A2C01">
        <w:rPr>
          <w:color w:val="000000" w:themeColor="text1"/>
          <w:sz w:val="28"/>
          <w:szCs w:val="28"/>
        </w:rPr>
        <w:t>отсутствует.</w:t>
      </w:r>
    </w:p>
    <w:p w14:paraId="2FA47191" w14:textId="22744FD4" w:rsidR="00464AFD" w:rsidRPr="00464AFD" w:rsidRDefault="00464623" w:rsidP="00464AFD">
      <w:pPr>
        <w:pStyle w:val="af6"/>
        <w:numPr>
          <w:ilvl w:val="3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A2C01">
        <w:rPr>
          <w:color w:val="000000" w:themeColor="text1"/>
          <w:sz w:val="28"/>
          <w:szCs w:val="28"/>
        </w:rPr>
        <w:t>Затевахин И.И., доктор медицинских наук,</w:t>
      </w:r>
      <w:r w:rsidR="006F1F8D" w:rsidRPr="009A2C01">
        <w:rPr>
          <w:color w:val="000000" w:themeColor="text1"/>
          <w:sz w:val="28"/>
          <w:szCs w:val="28"/>
        </w:rPr>
        <w:t xml:space="preserve"> </w:t>
      </w:r>
      <w:r w:rsidRPr="009A2C01">
        <w:rPr>
          <w:color w:val="000000" w:themeColor="text1"/>
          <w:sz w:val="28"/>
          <w:szCs w:val="28"/>
        </w:rPr>
        <w:t>профессор, академик</w:t>
      </w:r>
      <w:r w:rsidR="009A2C01">
        <w:rPr>
          <w:color w:val="000000" w:themeColor="text1"/>
          <w:sz w:val="28"/>
          <w:szCs w:val="28"/>
        </w:rPr>
        <w:t xml:space="preserve"> </w:t>
      </w:r>
      <w:r w:rsidRPr="009A2C01">
        <w:rPr>
          <w:color w:val="000000" w:themeColor="text1"/>
          <w:sz w:val="28"/>
          <w:szCs w:val="28"/>
        </w:rPr>
        <w:t xml:space="preserve">РАН, </w:t>
      </w:r>
      <w:r w:rsidRPr="009A2C01">
        <w:rPr>
          <w:color w:val="000000" w:themeColor="text1"/>
          <w:sz w:val="28"/>
          <w:szCs w:val="28"/>
        </w:rPr>
        <w:tab/>
      </w:r>
      <w:r w:rsidR="00A82A13" w:rsidRPr="009A2C01">
        <w:rPr>
          <w:color w:val="000000" w:themeColor="text1"/>
          <w:sz w:val="28"/>
          <w:szCs w:val="28"/>
        </w:rPr>
        <w:t xml:space="preserve">     </w:t>
      </w:r>
      <w:r w:rsidRPr="009A2C01">
        <w:rPr>
          <w:color w:val="000000" w:themeColor="text1"/>
          <w:sz w:val="28"/>
          <w:szCs w:val="28"/>
        </w:rPr>
        <w:t xml:space="preserve">член </w:t>
      </w:r>
      <w:proofErr w:type="spellStart"/>
      <w:r w:rsidRPr="009A2C01">
        <w:rPr>
          <w:color w:val="000000" w:themeColor="text1"/>
          <w:sz w:val="28"/>
          <w:szCs w:val="28"/>
        </w:rPr>
        <w:t>Российского</w:t>
      </w:r>
      <w:proofErr w:type="spellEnd"/>
      <w:r w:rsidRPr="009A2C01">
        <w:rPr>
          <w:color w:val="000000" w:themeColor="text1"/>
          <w:sz w:val="28"/>
          <w:szCs w:val="28"/>
        </w:rPr>
        <w:t xml:space="preserve"> общества хирургов. Конфликт интересов </w:t>
      </w:r>
      <w:r w:rsidR="00F2118E" w:rsidRPr="009A2C01">
        <w:rPr>
          <w:color w:val="000000" w:themeColor="text1"/>
          <w:sz w:val="28"/>
          <w:szCs w:val="28"/>
        </w:rPr>
        <w:tab/>
        <w:t xml:space="preserve"> </w:t>
      </w:r>
      <w:r w:rsidRPr="009A2C01">
        <w:rPr>
          <w:color w:val="000000" w:themeColor="text1"/>
          <w:sz w:val="28"/>
          <w:szCs w:val="28"/>
        </w:rPr>
        <w:t>отсутствует</w:t>
      </w:r>
      <w:r w:rsidR="00464AFD">
        <w:rPr>
          <w:color w:val="000000" w:themeColor="text1"/>
          <w:sz w:val="28"/>
          <w:szCs w:val="28"/>
        </w:rPr>
        <w:t>.</w:t>
      </w:r>
    </w:p>
    <w:p w14:paraId="336CF426" w14:textId="1FFB72E3" w:rsidR="00464623" w:rsidRPr="009A2C01" w:rsidRDefault="009A2C01" w:rsidP="0042176E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9A2C01">
        <w:rPr>
          <w:color w:val="000000" w:themeColor="text1"/>
          <w:sz w:val="28"/>
          <w:szCs w:val="28"/>
        </w:rPr>
        <w:t>3</w:t>
      </w:r>
      <w:r w:rsidR="00464623" w:rsidRPr="009A2C01">
        <w:rPr>
          <w:color w:val="000000" w:themeColor="text1"/>
          <w:sz w:val="28"/>
          <w:szCs w:val="28"/>
        </w:rPr>
        <w:t>. Захарченко И.А</w:t>
      </w:r>
      <w:r w:rsidR="00464AFD">
        <w:rPr>
          <w:color w:val="000000" w:themeColor="text1"/>
          <w:sz w:val="28"/>
          <w:szCs w:val="28"/>
        </w:rPr>
        <w:t>.</w:t>
      </w:r>
      <w:r w:rsidR="00464623" w:rsidRPr="009A2C01">
        <w:rPr>
          <w:color w:val="000000" w:themeColor="text1"/>
          <w:sz w:val="28"/>
          <w:szCs w:val="28"/>
        </w:rPr>
        <w:t xml:space="preserve">, кандидат медицинских наук, член   Федерации </w:t>
      </w:r>
      <w:r w:rsidR="00464623" w:rsidRPr="009A2C01">
        <w:rPr>
          <w:color w:val="000000" w:themeColor="text1"/>
          <w:sz w:val="28"/>
          <w:szCs w:val="28"/>
        </w:rPr>
        <w:tab/>
        <w:t xml:space="preserve">  </w:t>
      </w:r>
      <w:r w:rsidR="001D4A5E" w:rsidRPr="009A2C01">
        <w:rPr>
          <w:color w:val="000000" w:themeColor="text1"/>
          <w:sz w:val="28"/>
          <w:szCs w:val="28"/>
        </w:rPr>
        <w:t xml:space="preserve">   </w:t>
      </w:r>
      <w:r w:rsidR="001D4A5E" w:rsidRPr="009A2C01">
        <w:rPr>
          <w:color w:val="000000" w:themeColor="text1"/>
          <w:sz w:val="28"/>
          <w:szCs w:val="28"/>
        </w:rPr>
        <w:tab/>
      </w:r>
      <w:r w:rsidR="00464623" w:rsidRPr="009A2C01">
        <w:rPr>
          <w:color w:val="000000" w:themeColor="text1"/>
          <w:sz w:val="28"/>
          <w:szCs w:val="28"/>
        </w:rPr>
        <w:tab/>
        <w:t>анестезиологов и реаниматологов.  Конфл</w:t>
      </w:r>
      <w:r>
        <w:rPr>
          <w:color w:val="000000" w:themeColor="text1"/>
          <w:sz w:val="28"/>
          <w:szCs w:val="28"/>
        </w:rPr>
        <w:t xml:space="preserve">икт интересов </w:t>
      </w:r>
      <w:r w:rsidR="00464623" w:rsidRPr="009A2C01">
        <w:rPr>
          <w:color w:val="000000" w:themeColor="text1"/>
          <w:sz w:val="28"/>
          <w:szCs w:val="28"/>
        </w:rPr>
        <w:t>отсутствует.</w:t>
      </w:r>
    </w:p>
    <w:p w14:paraId="274EDC07" w14:textId="6416EAF1" w:rsidR="00464623" w:rsidRPr="008156B7" w:rsidRDefault="0042176E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64623" w:rsidRPr="008156B7">
        <w:rPr>
          <w:color w:val="000000" w:themeColor="text1"/>
          <w:sz w:val="28"/>
          <w:szCs w:val="28"/>
        </w:rPr>
        <w:t xml:space="preserve">. Королев М.П., доктор медицинских наук, профессор, член   Российского общества хирургов.   </w:t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  <w:t xml:space="preserve"> Конфликт   интересов отсутствует. </w:t>
      </w:r>
    </w:p>
    <w:p w14:paraId="4D5D4D1C" w14:textId="26AAAA04" w:rsidR="00464623" w:rsidRPr="008156B7" w:rsidRDefault="009A2C01" w:rsidP="0042176E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2176E">
        <w:rPr>
          <w:color w:val="000000" w:themeColor="text1"/>
          <w:sz w:val="28"/>
          <w:szCs w:val="28"/>
        </w:rPr>
        <w:t>5</w:t>
      </w:r>
      <w:r w:rsidR="00464623" w:rsidRPr="008156B7">
        <w:rPr>
          <w:color w:val="000000" w:themeColor="text1"/>
          <w:sz w:val="28"/>
          <w:szCs w:val="28"/>
        </w:rPr>
        <w:t xml:space="preserve">. </w:t>
      </w:r>
      <w:proofErr w:type="spellStart"/>
      <w:r w:rsidR="00464623" w:rsidRPr="008156B7">
        <w:rPr>
          <w:color w:val="000000" w:themeColor="text1"/>
          <w:sz w:val="28"/>
          <w:szCs w:val="28"/>
        </w:rPr>
        <w:t>Корымасов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Е.А., доктор медицинских наук, профессор, член </w:t>
      </w:r>
      <w:r w:rsidR="00464623" w:rsidRPr="008156B7">
        <w:rPr>
          <w:color w:val="000000" w:themeColor="text1"/>
          <w:sz w:val="28"/>
          <w:szCs w:val="28"/>
        </w:rPr>
        <w:tab/>
        <w:t xml:space="preserve">      </w:t>
      </w:r>
      <w:r w:rsidR="00464623" w:rsidRPr="008156B7">
        <w:rPr>
          <w:color w:val="000000" w:themeColor="text1"/>
          <w:sz w:val="28"/>
          <w:szCs w:val="28"/>
        </w:rPr>
        <w:tab/>
        <w:t xml:space="preserve">            </w:t>
      </w:r>
      <w:proofErr w:type="spellStart"/>
      <w:r w:rsidR="00BB0FDC">
        <w:rPr>
          <w:color w:val="000000" w:themeColor="text1"/>
          <w:sz w:val="28"/>
          <w:szCs w:val="28"/>
        </w:rPr>
        <w:t>Р</w:t>
      </w:r>
      <w:r w:rsidR="00464623" w:rsidRPr="008156B7">
        <w:rPr>
          <w:color w:val="000000" w:themeColor="text1"/>
          <w:sz w:val="28"/>
          <w:szCs w:val="28"/>
        </w:rPr>
        <w:t>оссийского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общества хирургов. Конфликт интересов </w:t>
      </w:r>
      <w:r>
        <w:rPr>
          <w:color w:val="000000" w:themeColor="text1"/>
          <w:sz w:val="28"/>
          <w:szCs w:val="28"/>
        </w:rPr>
        <w:t>отсутствует</w:t>
      </w:r>
    </w:p>
    <w:p w14:paraId="68FF82B9" w14:textId="2D7FCE6D" w:rsidR="0042176E" w:rsidRDefault="00464623" w:rsidP="0042176E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8156B7">
        <w:rPr>
          <w:color w:val="000000" w:themeColor="text1"/>
          <w:sz w:val="28"/>
          <w:szCs w:val="28"/>
        </w:rPr>
        <w:t xml:space="preserve"> </w:t>
      </w:r>
      <w:r w:rsidR="0042176E">
        <w:rPr>
          <w:color w:val="000000" w:themeColor="text1"/>
          <w:sz w:val="28"/>
          <w:szCs w:val="28"/>
        </w:rPr>
        <w:t>6</w:t>
      </w:r>
      <w:r w:rsidRPr="008156B7">
        <w:rPr>
          <w:color w:val="000000" w:themeColor="text1"/>
          <w:sz w:val="28"/>
          <w:szCs w:val="28"/>
        </w:rPr>
        <w:t xml:space="preserve">. </w:t>
      </w:r>
      <w:proofErr w:type="spellStart"/>
      <w:r w:rsidRPr="008156B7">
        <w:rPr>
          <w:color w:val="000000" w:themeColor="text1"/>
          <w:sz w:val="28"/>
          <w:szCs w:val="28"/>
        </w:rPr>
        <w:t>Оловянныи</w:t>
      </w:r>
      <w:proofErr w:type="spellEnd"/>
      <w:r w:rsidRPr="008156B7">
        <w:rPr>
          <w:color w:val="000000" w:themeColor="text1"/>
          <w:sz w:val="28"/>
          <w:szCs w:val="28"/>
        </w:rPr>
        <w:t xml:space="preserve">̆ В.Е., доктор медицинских наук, член </w:t>
      </w:r>
      <w:r w:rsidRPr="008156B7">
        <w:rPr>
          <w:color w:val="000000" w:themeColor="text1"/>
          <w:sz w:val="28"/>
          <w:szCs w:val="28"/>
        </w:rPr>
        <w:tab/>
        <w:t xml:space="preserve"> </w:t>
      </w:r>
      <w:r w:rsidRPr="008156B7">
        <w:rPr>
          <w:color w:val="000000" w:themeColor="text1"/>
          <w:sz w:val="28"/>
          <w:szCs w:val="28"/>
        </w:rPr>
        <w:tab/>
      </w:r>
      <w:r w:rsidRPr="008156B7">
        <w:rPr>
          <w:color w:val="000000" w:themeColor="text1"/>
          <w:sz w:val="28"/>
          <w:szCs w:val="28"/>
        </w:rPr>
        <w:tab/>
        <w:t xml:space="preserve">               </w:t>
      </w:r>
      <w:r w:rsidRPr="008156B7">
        <w:rPr>
          <w:color w:val="000000" w:themeColor="text1"/>
          <w:sz w:val="28"/>
          <w:szCs w:val="28"/>
        </w:rPr>
        <w:tab/>
        <w:t xml:space="preserve">              </w:t>
      </w:r>
      <w:proofErr w:type="spellStart"/>
      <w:r w:rsidRPr="008156B7">
        <w:rPr>
          <w:color w:val="000000" w:themeColor="text1"/>
          <w:sz w:val="28"/>
          <w:szCs w:val="28"/>
        </w:rPr>
        <w:t>Российского</w:t>
      </w:r>
      <w:proofErr w:type="spellEnd"/>
      <w:r w:rsidRPr="008156B7">
        <w:rPr>
          <w:color w:val="000000" w:themeColor="text1"/>
          <w:sz w:val="28"/>
          <w:szCs w:val="28"/>
        </w:rPr>
        <w:t xml:space="preserve"> общества хирургов.  Конфликт </w:t>
      </w:r>
      <w:proofErr w:type="gramStart"/>
      <w:r w:rsidRPr="008156B7">
        <w:rPr>
          <w:color w:val="000000" w:themeColor="text1"/>
          <w:sz w:val="28"/>
          <w:szCs w:val="28"/>
        </w:rPr>
        <w:t>интересов  о</w:t>
      </w:r>
      <w:r w:rsidR="009A2C01">
        <w:rPr>
          <w:color w:val="000000" w:themeColor="text1"/>
          <w:sz w:val="28"/>
          <w:szCs w:val="28"/>
        </w:rPr>
        <w:t>тсутствует</w:t>
      </w:r>
      <w:proofErr w:type="gramEnd"/>
      <w:r w:rsidR="009A2C01">
        <w:rPr>
          <w:color w:val="000000" w:themeColor="text1"/>
          <w:sz w:val="28"/>
          <w:szCs w:val="28"/>
        </w:rPr>
        <w:t>.</w:t>
      </w:r>
      <w:r w:rsidR="009A2C01">
        <w:rPr>
          <w:color w:val="000000" w:themeColor="text1"/>
          <w:sz w:val="28"/>
          <w:szCs w:val="28"/>
        </w:rPr>
        <w:tab/>
      </w:r>
      <w:r w:rsidR="009A2C01">
        <w:rPr>
          <w:color w:val="000000" w:themeColor="text1"/>
          <w:sz w:val="28"/>
          <w:szCs w:val="28"/>
        </w:rPr>
        <w:tab/>
      </w:r>
    </w:p>
    <w:p w14:paraId="0F6406AA" w14:textId="1471B533" w:rsidR="00464623" w:rsidRPr="008156B7" w:rsidRDefault="009A2C01" w:rsidP="0042176E">
      <w:p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2176E">
        <w:rPr>
          <w:color w:val="000000" w:themeColor="text1"/>
          <w:sz w:val="28"/>
          <w:szCs w:val="28"/>
        </w:rPr>
        <w:t>7</w:t>
      </w:r>
      <w:r w:rsidR="00464623" w:rsidRPr="008156B7">
        <w:rPr>
          <w:color w:val="000000" w:themeColor="text1"/>
          <w:sz w:val="28"/>
          <w:szCs w:val="28"/>
        </w:rPr>
        <w:t xml:space="preserve">. Павлычев А.В., кандидат медицинских наук, член </w:t>
      </w:r>
      <w:proofErr w:type="spellStart"/>
      <w:r w:rsidR="00464623" w:rsidRPr="008156B7">
        <w:rPr>
          <w:color w:val="000000" w:themeColor="text1"/>
          <w:sz w:val="28"/>
          <w:szCs w:val="28"/>
        </w:rPr>
        <w:t>Российского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</w:t>
      </w:r>
      <w:r w:rsidR="00464623" w:rsidRPr="008156B7">
        <w:rPr>
          <w:color w:val="000000" w:themeColor="text1"/>
          <w:sz w:val="28"/>
          <w:szCs w:val="28"/>
        </w:rPr>
        <w:tab/>
        <w:t xml:space="preserve">           общества хирургов. Конфликт интересов отсутствует.</w:t>
      </w:r>
    </w:p>
    <w:p w14:paraId="73B9E3FD" w14:textId="5EF5C997" w:rsidR="0042176E" w:rsidRDefault="009A2C01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2176E">
        <w:rPr>
          <w:color w:val="000000" w:themeColor="text1"/>
          <w:sz w:val="28"/>
          <w:szCs w:val="28"/>
        </w:rPr>
        <w:t>8</w:t>
      </w:r>
      <w:r w:rsidR="00464623" w:rsidRPr="008156B7">
        <w:rPr>
          <w:color w:val="000000" w:themeColor="text1"/>
          <w:sz w:val="28"/>
          <w:szCs w:val="28"/>
        </w:rPr>
        <w:t xml:space="preserve">. </w:t>
      </w:r>
      <w:proofErr w:type="spellStart"/>
      <w:r w:rsidR="00464623" w:rsidRPr="008156B7">
        <w:rPr>
          <w:color w:val="000000" w:themeColor="text1"/>
          <w:sz w:val="28"/>
          <w:szCs w:val="28"/>
        </w:rPr>
        <w:t>Ревишвили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А.Ш., доктор медицинских </w:t>
      </w:r>
      <w:proofErr w:type="spellStart"/>
      <w:proofErr w:type="gramStart"/>
      <w:r w:rsidR="00464623" w:rsidRPr="008156B7">
        <w:rPr>
          <w:color w:val="000000" w:themeColor="text1"/>
          <w:sz w:val="28"/>
          <w:szCs w:val="28"/>
        </w:rPr>
        <w:t>наук,профессор</w:t>
      </w:r>
      <w:proofErr w:type="spellEnd"/>
      <w:proofErr w:type="gramEnd"/>
      <w:r w:rsidR="00464623" w:rsidRPr="008156B7">
        <w:rPr>
          <w:color w:val="000000" w:themeColor="text1"/>
          <w:sz w:val="28"/>
          <w:szCs w:val="28"/>
        </w:rPr>
        <w:t>, академик РАН, директор  ФГБУ НМИЦ хирургии</w:t>
      </w:r>
      <w:r w:rsidR="001D4A5E" w:rsidRPr="008156B7">
        <w:rPr>
          <w:color w:val="000000" w:themeColor="text1"/>
          <w:sz w:val="28"/>
          <w:szCs w:val="28"/>
        </w:rPr>
        <w:t xml:space="preserve"> </w:t>
      </w:r>
      <w:proofErr w:type="spellStart"/>
      <w:r w:rsidR="00464623" w:rsidRPr="008156B7">
        <w:rPr>
          <w:color w:val="000000" w:themeColor="text1"/>
          <w:sz w:val="28"/>
          <w:szCs w:val="28"/>
        </w:rPr>
        <w:t>им.А.В.Вишневского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Минздрава России, главный </w:t>
      </w:r>
      <w:r w:rsidR="001D4A5E" w:rsidRPr="008156B7">
        <w:rPr>
          <w:color w:val="000000" w:themeColor="text1"/>
          <w:sz w:val="28"/>
          <w:szCs w:val="28"/>
        </w:rPr>
        <w:t xml:space="preserve"> </w:t>
      </w:r>
      <w:r w:rsidR="00464623" w:rsidRPr="008156B7">
        <w:rPr>
          <w:color w:val="000000" w:themeColor="text1"/>
          <w:sz w:val="28"/>
          <w:szCs w:val="28"/>
        </w:rPr>
        <w:t xml:space="preserve">внештатный хирург и эндоскопист Минздрава </w:t>
      </w:r>
      <w:proofErr w:type="spellStart"/>
      <w:r w:rsidR="00464623" w:rsidRPr="008156B7">
        <w:rPr>
          <w:color w:val="000000" w:themeColor="text1"/>
          <w:sz w:val="28"/>
          <w:szCs w:val="28"/>
        </w:rPr>
        <w:t>России.Конфликт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интересов отсутствует</w:t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1D4A5E" w:rsidRPr="008156B7">
        <w:rPr>
          <w:color w:val="000000" w:themeColor="text1"/>
          <w:sz w:val="28"/>
          <w:szCs w:val="28"/>
        </w:rPr>
        <w:tab/>
      </w:r>
      <w:r w:rsidR="001D4A5E" w:rsidRPr="008156B7">
        <w:rPr>
          <w:color w:val="000000" w:themeColor="text1"/>
          <w:sz w:val="28"/>
          <w:szCs w:val="28"/>
        </w:rPr>
        <w:tab/>
      </w:r>
    </w:p>
    <w:p w14:paraId="73B90D29" w14:textId="16437CB3" w:rsidR="009A2C01" w:rsidRDefault="0042176E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464623" w:rsidRPr="008156B7">
        <w:rPr>
          <w:color w:val="000000" w:themeColor="text1"/>
          <w:sz w:val="28"/>
          <w:szCs w:val="28"/>
        </w:rPr>
        <w:t xml:space="preserve">. Тарасенко С.В., доктор медицинских наук, профессор, член </w:t>
      </w:r>
      <w:r w:rsidR="00464623" w:rsidRPr="008156B7">
        <w:rPr>
          <w:color w:val="000000" w:themeColor="text1"/>
          <w:sz w:val="28"/>
          <w:szCs w:val="28"/>
        </w:rPr>
        <w:tab/>
        <w:t xml:space="preserve"> </w:t>
      </w:r>
      <w:r w:rsidR="00464623" w:rsidRPr="008156B7">
        <w:rPr>
          <w:color w:val="000000" w:themeColor="text1"/>
          <w:sz w:val="28"/>
          <w:szCs w:val="28"/>
        </w:rPr>
        <w:tab/>
        <w:t xml:space="preserve">      </w:t>
      </w:r>
      <w:r w:rsidR="001D4A5E" w:rsidRPr="008156B7">
        <w:rPr>
          <w:color w:val="000000" w:themeColor="text1"/>
          <w:sz w:val="28"/>
          <w:szCs w:val="28"/>
        </w:rPr>
        <w:tab/>
        <w:t xml:space="preserve">      </w:t>
      </w:r>
      <w:proofErr w:type="spellStart"/>
      <w:r w:rsidR="00464623" w:rsidRPr="008156B7">
        <w:rPr>
          <w:color w:val="000000" w:themeColor="text1"/>
          <w:sz w:val="28"/>
          <w:szCs w:val="28"/>
        </w:rPr>
        <w:t>Российского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общества хирургов.  Конфликт интересов </w:t>
      </w:r>
      <w:r w:rsidR="009A2C01">
        <w:rPr>
          <w:color w:val="000000" w:themeColor="text1"/>
          <w:sz w:val="28"/>
          <w:szCs w:val="28"/>
        </w:rPr>
        <w:t>отсутствует.</w:t>
      </w:r>
      <w:r w:rsidR="009A2C01">
        <w:rPr>
          <w:color w:val="000000" w:themeColor="text1"/>
          <w:sz w:val="28"/>
          <w:szCs w:val="28"/>
        </w:rPr>
        <w:tab/>
      </w:r>
      <w:r w:rsidR="009A2C01">
        <w:rPr>
          <w:color w:val="000000" w:themeColor="text1"/>
          <w:sz w:val="28"/>
          <w:szCs w:val="28"/>
        </w:rPr>
        <w:tab/>
      </w:r>
    </w:p>
    <w:p w14:paraId="109FC4B2" w14:textId="2AE7AE02" w:rsidR="00BB0FDC" w:rsidRDefault="0042176E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464623" w:rsidRPr="008156B7">
        <w:rPr>
          <w:color w:val="000000" w:themeColor="text1"/>
          <w:sz w:val="28"/>
          <w:szCs w:val="28"/>
        </w:rPr>
        <w:t xml:space="preserve">. Федоров А.В., доктор медицинских наук, профессор, генеральный </w:t>
      </w:r>
      <w:r w:rsidR="00464623" w:rsidRPr="008156B7">
        <w:rPr>
          <w:color w:val="000000" w:themeColor="text1"/>
          <w:sz w:val="28"/>
          <w:szCs w:val="28"/>
        </w:rPr>
        <w:tab/>
        <w:t xml:space="preserve"> секретарь Российского общества хирургов.</w:t>
      </w:r>
      <w:r w:rsidR="00402C6C" w:rsidRPr="008156B7">
        <w:rPr>
          <w:color w:val="000000" w:themeColor="text1"/>
          <w:sz w:val="28"/>
          <w:szCs w:val="28"/>
        </w:rPr>
        <w:t xml:space="preserve"> </w:t>
      </w:r>
      <w:r w:rsidR="00464623" w:rsidRPr="008156B7">
        <w:rPr>
          <w:color w:val="000000" w:themeColor="text1"/>
          <w:sz w:val="28"/>
          <w:szCs w:val="28"/>
        </w:rPr>
        <w:t>Конфликт интересов отсутствует.</w:t>
      </w:r>
    </w:p>
    <w:p w14:paraId="0BFBEF51" w14:textId="41B89377" w:rsidR="00BB0FDC" w:rsidRDefault="0042176E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464623" w:rsidRPr="008156B7">
        <w:rPr>
          <w:color w:val="000000" w:themeColor="text1"/>
          <w:sz w:val="28"/>
          <w:szCs w:val="28"/>
        </w:rPr>
        <w:t>. Федоров Е.Д., доктор медицинских наук, профессор,</w:t>
      </w:r>
      <w:r w:rsidR="00464AFD">
        <w:rPr>
          <w:color w:val="000000" w:themeColor="text1"/>
          <w:sz w:val="28"/>
          <w:szCs w:val="28"/>
        </w:rPr>
        <w:t xml:space="preserve"> </w:t>
      </w:r>
      <w:r w:rsidR="00464623" w:rsidRPr="008156B7">
        <w:rPr>
          <w:color w:val="000000" w:themeColor="text1"/>
          <w:sz w:val="28"/>
          <w:szCs w:val="28"/>
        </w:rPr>
        <w:t>председател</w:t>
      </w:r>
      <w:r w:rsidR="009A2C01">
        <w:rPr>
          <w:color w:val="000000" w:themeColor="text1"/>
          <w:sz w:val="28"/>
          <w:szCs w:val="28"/>
        </w:rPr>
        <w:t>ь</w:t>
      </w:r>
      <w:r w:rsidR="00464623" w:rsidRPr="008156B7">
        <w:rPr>
          <w:color w:val="000000" w:themeColor="text1"/>
          <w:sz w:val="28"/>
          <w:szCs w:val="28"/>
        </w:rPr>
        <w:t xml:space="preserve"> Ассоциации «Эндоскопическое общество РЭНДО». Конфликт интересов отсутствует.</w:t>
      </w:r>
      <w:r w:rsidR="00464623" w:rsidRPr="008156B7">
        <w:rPr>
          <w:color w:val="000000" w:themeColor="text1"/>
          <w:sz w:val="28"/>
          <w:szCs w:val="28"/>
        </w:rPr>
        <w:tab/>
      </w:r>
    </w:p>
    <w:p w14:paraId="7A839C2A" w14:textId="2C0D4A69" w:rsidR="00BB0FDC" w:rsidRDefault="00464623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156B7">
        <w:rPr>
          <w:color w:val="000000" w:themeColor="text1"/>
          <w:sz w:val="28"/>
          <w:szCs w:val="28"/>
        </w:rPr>
        <w:t xml:space="preserve"> </w:t>
      </w:r>
      <w:r w:rsidR="0042176E">
        <w:rPr>
          <w:color w:val="000000" w:themeColor="text1"/>
          <w:sz w:val="28"/>
          <w:szCs w:val="28"/>
        </w:rPr>
        <w:t>12</w:t>
      </w:r>
      <w:r w:rsidRPr="008156B7">
        <w:rPr>
          <w:color w:val="000000" w:themeColor="text1"/>
          <w:sz w:val="28"/>
          <w:szCs w:val="28"/>
        </w:rPr>
        <w:t xml:space="preserve">. Хрипун А.И., доктор медицинских наук, профессор, член </w:t>
      </w:r>
      <w:r w:rsidRPr="008156B7">
        <w:rPr>
          <w:color w:val="000000" w:themeColor="text1"/>
          <w:sz w:val="28"/>
          <w:szCs w:val="28"/>
        </w:rPr>
        <w:tab/>
        <w:t xml:space="preserve"> </w:t>
      </w:r>
      <w:r w:rsidRPr="008156B7">
        <w:rPr>
          <w:color w:val="000000" w:themeColor="text1"/>
          <w:sz w:val="28"/>
          <w:szCs w:val="28"/>
        </w:rPr>
        <w:tab/>
        <w:t xml:space="preserve">        </w:t>
      </w:r>
      <w:r w:rsidR="00402C6C" w:rsidRPr="008156B7">
        <w:rPr>
          <w:color w:val="000000" w:themeColor="text1"/>
          <w:sz w:val="28"/>
          <w:szCs w:val="28"/>
        </w:rPr>
        <w:tab/>
        <w:t xml:space="preserve">      </w:t>
      </w:r>
      <w:r w:rsidRPr="008156B7">
        <w:rPr>
          <w:color w:val="000000" w:themeColor="text1"/>
          <w:sz w:val="28"/>
          <w:szCs w:val="28"/>
        </w:rPr>
        <w:t xml:space="preserve">правления </w:t>
      </w:r>
      <w:proofErr w:type="spellStart"/>
      <w:r w:rsidRPr="008156B7">
        <w:rPr>
          <w:color w:val="000000" w:themeColor="text1"/>
          <w:sz w:val="28"/>
          <w:szCs w:val="28"/>
        </w:rPr>
        <w:t>Российского</w:t>
      </w:r>
      <w:proofErr w:type="spellEnd"/>
      <w:r w:rsidRPr="008156B7">
        <w:rPr>
          <w:color w:val="000000" w:themeColor="text1"/>
          <w:sz w:val="28"/>
          <w:szCs w:val="28"/>
        </w:rPr>
        <w:t xml:space="preserve"> общества хирургов.  Конфликт </w:t>
      </w:r>
      <w:r w:rsidR="00402C6C" w:rsidRPr="008156B7">
        <w:rPr>
          <w:color w:val="000000" w:themeColor="text1"/>
          <w:sz w:val="28"/>
          <w:szCs w:val="28"/>
        </w:rPr>
        <w:t xml:space="preserve">  </w:t>
      </w:r>
      <w:r w:rsidRPr="008156B7">
        <w:rPr>
          <w:color w:val="000000" w:themeColor="text1"/>
          <w:sz w:val="28"/>
          <w:szCs w:val="28"/>
        </w:rPr>
        <w:t>интересов отсутствует.</w:t>
      </w:r>
    </w:p>
    <w:p w14:paraId="0B6052EC" w14:textId="601EFC66" w:rsidR="00402C6C" w:rsidRPr="008156B7" w:rsidRDefault="0042176E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464623" w:rsidRPr="008156B7">
        <w:rPr>
          <w:color w:val="000000" w:themeColor="text1"/>
          <w:sz w:val="28"/>
          <w:szCs w:val="28"/>
        </w:rPr>
        <w:t>. Шабунин А.В., доктор медицинских наук, профессор,</w:t>
      </w:r>
      <w:r w:rsidR="00402C6C" w:rsidRPr="008156B7">
        <w:rPr>
          <w:color w:val="000000" w:themeColor="text1"/>
          <w:sz w:val="28"/>
          <w:szCs w:val="28"/>
        </w:rPr>
        <w:t xml:space="preserve"> </w:t>
      </w:r>
      <w:r w:rsidR="00464623" w:rsidRPr="008156B7">
        <w:rPr>
          <w:color w:val="000000" w:themeColor="text1"/>
          <w:sz w:val="28"/>
          <w:szCs w:val="28"/>
        </w:rPr>
        <w:t>академик РАН, член Российского общества хирургов. Конфликт</w:t>
      </w:r>
      <w:r w:rsidR="00464623" w:rsidRPr="008156B7">
        <w:rPr>
          <w:color w:val="000000" w:themeColor="text1"/>
          <w:sz w:val="28"/>
          <w:szCs w:val="28"/>
        </w:rPr>
        <w:tab/>
        <w:t xml:space="preserve"> интересов отсутствует.</w:t>
      </w:r>
      <w:r w:rsidR="00464623" w:rsidRPr="008156B7">
        <w:rPr>
          <w:color w:val="000000" w:themeColor="text1"/>
          <w:sz w:val="28"/>
          <w:szCs w:val="28"/>
        </w:rPr>
        <w:tab/>
      </w:r>
    </w:p>
    <w:p w14:paraId="0959CCD4" w14:textId="688A7747" w:rsidR="00472C01" w:rsidRDefault="0042176E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64623" w:rsidRPr="008156B7">
        <w:rPr>
          <w:color w:val="000000" w:themeColor="text1"/>
          <w:sz w:val="28"/>
          <w:szCs w:val="28"/>
        </w:rPr>
        <w:t>. Щеголев А.А., доктор медицинских наук, профессор, чл</w:t>
      </w:r>
      <w:r w:rsidR="001B5ACF">
        <w:rPr>
          <w:color w:val="000000" w:themeColor="text1"/>
          <w:sz w:val="28"/>
          <w:szCs w:val="28"/>
        </w:rPr>
        <w:t>ен</w:t>
      </w:r>
      <w:r w:rsidR="00402C6C" w:rsidRPr="008156B7">
        <w:rPr>
          <w:color w:val="000000" w:themeColor="text1"/>
          <w:sz w:val="28"/>
          <w:szCs w:val="28"/>
        </w:rPr>
        <w:tab/>
      </w:r>
      <w:proofErr w:type="spellStart"/>
      <w:r w:rsidR="00464623" w:rsidRPr="008156B7">
        <w:rPr>
          <w:color w:val="000000" w:themeColor="text1"/>
          <w:sz w:val="28"/>
          <w:szCs w:val="28"/>
        </w:rPr>
        <w:t>Российского</w:t>
      </w:r>
      <w:proofErr w:type="spellEnd"/>
      <w:r w:rsidR="00464623" w:rsidRPr="008156B7">
        <w:rPr>
          <w:color w:val="000000" w:themeColor="text1"/>
          <w:sz w:val="28"/>
          <w:szCs w:val="28"/>
        </w:rPr>
        <w:t xml:space="preserve"> общества хирургов. Конфликт интересов</w:t>
      </w:r>
      <w:r w:rsidR="00464AFD">
        <w:rPr>
          <w:color w:val="000000" w:themeColor="text1"/>
          <w:sz w:val="28"/>
          <w:szCs w:val="28"/>
        </w:rPr>
        <w:t xml:space="preserve"> </w:t>
      </w:r>
      <w:r w:rsidR="00464623" w:rsidRPr="008156B7">
        <w:rPr>
          <w:color w:val="000000" w:themeColor="text1"/>
          <w:sz w:val="28"/>
          <w:szCs w:val="28"/>
        </w:rPr>
        <w:t>отсутствует</w:t>
      </w:r>
      <w:r w:rsidR="00472C01" w:rsidRPr="008156B7">
        <w:rPr>
          <w:color w:val="000000" w:themeColor="text1"/>
          <w:sz w:val="28"/>
          <w:szCs w:val="28"/>
        </w:rPr>
        <w:t>.</w:t>
      </w:r>
    </w:p>
    <w:p w14:paraId="5B454C83" w14:textId="628C7020" w:rsidR="00464AFD" w:rsidRPr="008156B7" w:rsidRDefault="00464AFD" w:rsidP="0042176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Анищенко М.А., кандидат медицинских наук, член РОХ</w:t>
      </w:r>
    </w:p>
    <w:p w14:paraId="6AB31D43" w14:textId="0229DE69" w:rsidR="00464623" w:rsidRPr="008156B7" w:rsidRDefault="00472C01" w:rsidP="00464623">
      <w:pPr>
        <w:spacing w:line="360" w:lineRule="auto"/>
        <w:rPr>
          <w:color w:val="000000" w:themeColor="text1"/>
          <w:sz w:val="28"/>
          <w:szCs w:val="28"/>
        </w:rPr>
      </w:pPr>
      <w:r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  <w:r w:rsidR="00464623" w:rsidRPr="008156B7">
        <w:rPr>
          <w:color w:val="000000" w:themeColor="text1"/>
          <w:sz w:val="28"/>
          <w:szCs w:val="28"/>
        </w:rPr>
        <w:tab/>
      </w:r>
    </w:p>
    <w:p w14:paraId="74768CB9" w14:textId="77777777" w:rsidR="00464623" w:rsidRPr="008156B7" w:rsidRDefault="00464623">
      <w:pPr>
        <w:spacing w:line="360" w:lineRule="auto"/>
        <w:rPr>
          <w:color w:val="000000" w:themeColor="text1"/>
          <w:sz w:val="28"/>
          <w:szCs w:val="28"/>
        </w:rPr>
      </w:pPr>
    </w:p>
    <w:p w14:paraId="5F777ABC" w14:textId="337D9876" w:rsidR="00AE37FB" w:rsidRPr="008156B7" w:rsidRDefault="00AE37FB">
      <w:pPr>
        <w:rPr>
          <w:b/>
          <w:color w:val="000000" w:themeColor="text1"/>
          <w:sz w:val="28"/>
          <w:szCs w:val="28"/>
        </w:rPr>
      </w:pPr>
      <w:bookmarkStart w:id="88" w:name="_1ci93xb" w:colFirst="0" w:colLast="0"/>
      <w:bookmarkEnd w:id="88"/>
    </w:p>
    <w:p w14:paraId="05AC657A" w14:textId="77777777" w:rsidR="00AE37FB" w:rsidRPr="008156B7" w:rsidRDefault="00F52CFD" w:rsidP="00A5446B">
      <w:pPr>
        <w:pStyle w:val="10"/>
        <w:spacing w:line="360" w:lineRule="auto"/>
        <w:rPr>
          <w:color w:val="000000" w:themeColor="text1"/>
          <w:sz w:val="28"/>
          <w:szCs w:val="28"/>
          <w:u w:val="none"/>
        </w:rPr>
      </w:pPr>
      <w:bookmarkStart w:id="89" w:name="_Toc26477710"/>
      <w:r w:rsidRPr="008156B7">
        <w:rPr>
          <w:color w:val="000000" w:themeColor="text1"/>
          <w:sz w:val="28"/>
          <w:szCs w:val="28"/>
          <w:u w:val="none"/>
        </w:rPr>
        <w:t>Приложение А2. Методология разработки клинических рекомендаций</w:t>
      </w:r>
      <w:bookmarkEnd w:id="89"/>
    </w:p>
    <w:p w14:paraId="41BDB15E" w14:textId="77777777" w:rsidR="00B610A2" w:rsidRPr="008156B7" w:rsidRDefault="00A5446B" w:rsidP="008156B7">
      <w:pPr>
        <w:pStyle w:val="2"/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 xml:space="preserve"> </w:t>
      </w:r>
    </w:p>
    <w:p w14:paraId="254A37E5" w14:textId="77777777" w:rsidR="00B610A2" w:rsidRPr="008156B7" w:rsidRDefault="00A5446B" w:rsidP="008156B7">
      <w:pPr>
        <w:pStyle w:val="aff"/>
        <w:spacing w:line="360" w:lineRule="auto"/>
        <w:ind w:left="0"/>
        <w:rPr>
          <w:b/>
          <w:bCs/>
          <w:color w:val="000000" w:themeColor="text1"/>
        </w:rPr>
      </w:pPr>
      <w:bookmarkStart w:id="90" w:name="_Toc146491638"/>
      <w:r w:rsidRPr="008156B7">
        <w:rPr>
          <w:b/>
          <w:bCs/>
          <w:color w:val="000000" w:themeColor="text1"/>
        </w:rPr>
        <w:t>Целевая аудитория данных клинических рекомендаций</w:t>
      </w:r>
      <w:bookmarkEnd w:id="90"/>
      <w:r w:rsidRPr="008156B7">
        <w:rPr>
          <w:b/>
          <w:bCs/>
          <w:color w:val="000000" w:themeColor="text1"/>
        </w:rPr>
        <w:t xml:space="preserve"> </w:t>
      </w:r>
    </w:p>
    <w:p w14:paraId="2B4F1061" w14:textId="77777777" w:rsidR="00A5446B" w:rsidRPr="008156B7" w:rsidRDefault="00A5446B" w:rsidP="00A109C4">
      <w:pPr>
        <w:numPr>
          <w:ilvl w:val="0"/>
          <w:numId w:val="6"/>
        </w:numPr>
        <w:tabs>
          <w:tab w:val="left" w:pos="284"/>
        </w:tabs>
        <w:spacing w:line="360" w:lineRule="auto"/>
        <w:ind w:left="0" w:right="-9"/>
        <w:jc w:val="both"/>
        <w:rPr>
          <w:color w:val="000000" w:themeColor="text1"/>
        </w:rPr>
      </w:pPr>
      <w:r w:rsidRPr="008156B7">
        <w:rPr>
          <w:color w:val="000000" w:themeColor="text1"/>
        </w:rPr>
        <w:t>Врачи-гастроэнтерологи</w:t>
      </w:r>
    </w:p>
    <w:p w14:paraId="133417F5" w14:textId="77777777" w:rsidR="00A5446B" w:rsidRPr="008156B7" w:rsidRDefault="00A5446B" w:rsidP="00A109C4">
      <w:pPr>
        <w:numPr>
          <w:ilvl w:val="0"/>
          <w:numId w:val="6"/>
        </w:numPr>
        <w:tabs>
          <w:tab w:val="left" w:pos="284"/>
        </w:tabs>
        <w:spacing w:line="360" w:lineRule="auto"/>
        <w:ind w:left="0" w:right="-9"/>
        <w:jc w:val="both"/>
        <w:rPr>
          <w:color w:val="000000" w:themeColor="text1"/>
        </w:rPr>
      </w:pPr>
      <w:r w:rsidRPr="008156B7">
        <w:rPr>
          <w:color w:val="000000" w:themeColor="text1"/>
        </w:rPr>
        <w:t>Врачи общей практики (семейные врачи)</w:t>
      </w:r>
    </w:p>
    <w:p w14:paraId="03E0AF29" w14:textId="77777777" w:rsidR="00A5446B" w:rsidRPr="008156B7" w:rsidRDefault="00A5446B" w:rsidP="00A109C4">
      <w:pPr>
        <w:numPr>
          <w:ilvl w:val="0"/>
          <w:numId w:val="6"/>
        </w:numPr>
        <w:tabs>
          <w:tab w:val="left" w:pos="284"/>
        </w:tabs>
        <w:spacing w:line="360" w:lineRule="auto"/>
        <w:ind w:left="0" w:right="-9"/>
        <w:jc w:val="both"/>
        <w:rPr>
          <w:color w:val="000000" w:themeColor="text1"/>
        </w:rPr>
      </w:pPr>
      <w:r w:rsidRPr="008156B7">
        <w:rPr>
          <w:color w:val="000000" w:themeColor="text1"/>
        </w:rPr>
        <w:t xml:space="preserve">Врачи-хирурги </w:t>
      </w:r>
    </w:p>
    <w:p w14:paraId="5DAC7196" w14:textId="77777777" w:rsidR="00A5446B" w:rsidRPr="008156B7" w:rsidRDefault="00A5446B" w:rsidP="00A109C4">
      <w:pPr>
        <w:numPr>
          <w:ilvl w:val="0"/>
          <w:numId w:val="6"/>
        </w:numPr>
        <w:tabs>
          <w:tab w:val="left" w:pos="284"/>
        </w:tabs>
        <w:spacing w:line="360" w:lineRule="auto"/>
        <w:ind w:left="0" w:right="-9"/>
        <w:jc w:val="both"/>
        <w:rPr>
          <w:color w:val="000000" w:themeColor="text1"/>
        </w:rPr>
      </w:pPr>
      <w:r w:rsidRPr="008156B7">
        <w:rPr>
          <w:color w:val="000000" w:themeColor="text1"/>
        </w:rPr>
        <w:t xml:space="preserve">Врачи- эндоскописты </w:t>
      </w:r>
    </w:p>
    <w:p w14:paraId="3B8E8273" w14:textId="77777777" w:rsidR="00A5446B" w:rsidRPr="008156B7" w:rsidRDefault="00A5446B" w:rsidP="00A109C4">
      <w:pPr>
        <w:numPr>
          <w:ilvl w:val="0"/>
          <w:numId w:val="6"/>
        </w:numPr>
        <w:tabs>
          <w:tab w:val="left" w:pos="284"/>
        </w:tabs>
        <w:spacing w:line="360" w:lineRule="auto"/>
        <w:ind w:left="0" w:right="-9"/>
        <w:jc w:val="both"/>
        <w:rPr>
          <w:color w:val="000000" w:themeColor="text1"/>
        </w:rPr>
      </w:pPr>
      <w:r w:rsidRPr="008156B7">
        <w:rPr>
          <w:color w:val="000000" w:themeColor="text1"/>
        </w:rPr>
        <w:t xml:space="preserve">Врачи анестезиологи-реаниматологи </w:t>
      </w:r>
    </w:p>
    <w:p w14:paraId="652F5263" w14:textId="77777777" w:rsidR="00A5446B" w:rsidRPr="008156B7" w:rsidRDefault="00A5446B" w:rsidP="00A109C4">
      <w:pPr>
        <w:numPr>
          <w:ilvl w:val="0"/>
          <w:numId w:val="6"/>
        </w:numPr>
        <w:tabs>
          <w:tab w:val="left" w:pos="284"/>
        </w:tabs>
        <w:spacing w:line="360" w:lineRule="auto"/>
        <w:ind w:left="0" w:right="-9"/>
        <w:jc w:val="both"/>
        <w:rPr>
          <w:color w:val="000000" w:themeColor="text1"/>
        </w:rPr>
      </w:pPr>
      <w:r w:rsidRPr="008156B7">
        <w:rPr>
          <w:color w:val="000000" w:themeColor="text1"/>
        </w:rPr>
        <w:t xml:space="preserve">Врачи по </w:t>
      </w:r>
      <w:proofErr w:type="spellStart"/>
      <w:r w:rsidRPr="008156B7">
        <w:rPr>
          <w:color w:val="000000" w:themeColor="text1"/>
        </w:rPr>
        <w:t>рентгенэндоваскулярным</w:t>
      </w:r>
      <w:proofErr w:type="spellEnd"/>
      <w:r w:rsidRPr="008156B7">
        <w:rPr>
          <w:color w:val="000000" w:themeColor="text1"/>
        </w:rPr>
        <w:t xml:space="preserve"> диагностике и лечению </w:t>
      </w:r>
    </w:p>
    <w:p w14:paraId="63788D49" w14:textId="77777777" w:rsidR="00A5446B" w:rsidRPr="008156B7" w:rsidRDefault="00A5446B" w:rsidP="00A109C4">
      <w:pPr>
        <w:numPr>
          <w:ilvl w:val="0"/>
          <w:numId w:val="6"/>
        </w:numPr>
        <w:tabs>
          <w:tab w:val="left" w:pos="284"/>
        </w:tabs>
        <w:spacing w:line="360" w:lineRule="auto"/>
        <w:ind w:left="0" w:right="-9"/>
        <w:jc w:val="both"/>
        <w:rPr>
          <w:color w:val="000000" w:themeColor="text1"/>
        </w:rPr>
      </w:pPr>
      <w:r w:rsidRPr="008156B7">
        <w:rPr>
          <w:color w:val="000000" w:themeColor="text1"/>
        </w:rPr>
        <w:t xml:space="preserve">Клинические ординаторы </w:t>
      </w:r>
    </w:p>
    <w:p w14:paraId="22D103E3" w14:textId="77777777" w:rsidR="00B610A2" w:rsidRPr="008156B7" w:rsidRDefault="00A5446B" w:rsidP="008156B7">
      <w:pPr>
        <w:spacing w:line="360" w:lineRule="auto"/>
        <w:rPr>
          <w:b/>
          <w:bCs/>
          <w:color w:val="000000" w:themeColor="text1"/>
        </w:rPr>
      </w:pPr>
      <w:bookmarkStart w:id="91" w:name="_Toc146491639"/>
      <w:r w:rsidRPr="008156B7">
        <w:rPr>
          <w:b/>
          <w:bCs/>
          <w:color w:val="000000" w:themeColor="text1"/>
        </w:rPr>
        <w:t>Методология сбора доказательств</w:t>
      </w:r>
      <w:bookmarkEnd w:id="91"/>
      <w:r w:rsidRPr="008156B7">
        <w:rPr>
          <w:b/>
          <w:bCs/>
          <w:color w:val="000000" w:themeColor="text1"/>
        </w:rPr>
        <w:t xml:space="preserve"> </w:t>
      </w:r>
    </w:p>
    <w:p w14:paraId="478ED130" w14:textId="77777777" w:rsidR="00B610A2" w:rsidRPr="008156B7" w:rsidRDefault="00A5446B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 xml:space="preserve">Методы, использованные для сбора/селекции доказательств: </w:t>
      </w:r>
    </w:p>
    <w:p w14:paraId="4CFC0158" w14:textId="77777777" w:rsidR="00B610A2" w:rsidRPr="008156B7" w:rsidRDefault="00A5446B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>Поиск публикаций в специализированных периодических печатных изданиях с импакт-</w:t>
      </w:r>
      <w:proofErr w:type="gramStart"/>
      <w:r w:rsidRPr="008156B7">
        <w:rPr>
          <w:color w:val="000000" w:themeColor="text1"/>
        </w:rPr>
        <w:t>фактором &gt;</w:t>
      </w:r>
      <w:proofErr w:type="gramEnd"/>
      <w:r w:rsidRPr="008156B7">
        <w:rPr>
          <w:color w:val="000000" w:themeColor="text1"/>
        </w:rPr>
        <w:t xml:space="preserve"> 0,3; </w:t>
      </w:r>
    </w:p>
    <w:p w14:paraId="7ACC5DD0" w14:textId="77777777" w:rsidR="00B610A2" w:rsidRPr="008156B7" w:rsidRDefault="00A5446B" w:rsidP="008156B7">
      <w:pPr>
        <w:spacing w:line="360" w:lineRule="auto"/>
        <w:rPr>
          <w:b/>
          <w:bCs/>
          <w:color w:val="000000" w:themeColor="text1"/>
        </w:rPr>
      </w:pPr>
      <w:bookmarkStart w:id="92" w:name="_Toc146491640"/>
      <w:r w:rsidRPr="008156B7">
        <w:rPr>
          <w:b/>
          <w:bCs/>
          <w:color w:val="000000" w:themeColor="text1"/>
        </w:rPr>
        <w:t>Поиск в электронных базах данных</w:t>
      </w:r>
      <w:bookmarkEnd w:id="92"/>
      <w:r w:rsidRPr="008156B7">
        <w:rPr>
          <w:b/>
          <w:bCs/>
          <w:color w:val="000000" w:themeColor="text1"/>
        </w:rPr>
        <w:t xml:space="preserve"> </w:t>
      </w:r>
    </w:p>
    <w:p w14:paraId="0D37F465" w14:textId="77777777" w:rsidR="00B610A2" w:rsidRPr="008156B7" w:rsidRDefault="00A5446B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 xml:space="preserve">Базы данных, использованных для сбора/селекции доказательств: </w:t>
      </w:r>
    </w:p>
    <w:p w14:paraId="36A775AC" w14:textId="77777777" w:rsidR="00B610A2" w:rsidRPr="008156B7" w:rsidRDefault="00A5446B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 xml:space="preserve">Доказательной базой для рекомендаций являются публикации, вошедшие в </w:t>
      </w:r>
      <w:proofErr w:type="spellStart"/>
      <w:r w:rsidRPr="008156B7">
        <w:rPr>
          <w:color w:val="000000" w:themeColor="text1"/>
        </w:rPr>
        <w:t>Кохрейновскую</w:t>
      </w:r>
      <w:proofErr w:type="spellEnd"/>
      <w:r w:rsidRPr="008156B7">
        <w:rPr>
          <w:color w:val="000000" w:themeColor="text1"/>
        </w:rPr>
        <w:t xml:space="preserve"> библиотеку, базы данных PUBMED и MEDLINE. Глубина поиска составила 30 лет. </w:t>
      </w:r>
    </w:p>
    <w:p w14:paraId="515A1D0D" w14:textId="77777777" w:rsidR="00B610A2" w:rsidRPr="008156B7" w:rsidRDefault="00A5446B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lastRenderedPageBreak/>
        <w:t xml:space="preserve">Методы, использованные для анализа доказательств: </w:t>
      </w:r>
    </w:p>
    <w:p w14:paraId="09196633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 xml:space="preserve">обзоры опубликованных метаанализов; </w:t>
      </w:r>
    </w:p>
    <w:p w14:paraId="2E726A47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 xml:space="preserve">систематические обзоры с таблицами доказательств. </w:t>
      </w:r>
    </w:p>
    <w:p w14:paraId="7663DEA9" w14:textId="77777777" w:rsidR="00B610A2" w:rsidRPr="008156B7" w:rsidRDefault="00A5446B" w:rsidP="008156B7">
      <w:pPr>
        <w:spacing w:line="360" w:lineRule="auto"/>
        <w:rPr>
          <w:b/>
          <w:bCs/>
          <w:color w:val="000000" w:themeColor="text1"/>
        </w:rPr>
      </w:pPr>
      <w:r w:rsidRPr="008156B7">
        <w:rPr>
          <w:b/>
          <w:bCs/>
          <w:color w:val="000000" w:themeColor="text1"/>
        </w:rPr>
        <w:t xml:space="preserve">Методы, использованные для качества и силы доказательств: </w:t>
      </w:r>
    </w:p>
    <w:p w14:paraId="7061F46D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 xml:space="preserve">консенсус экспертов; </w:t>
      </w:r>
    </w:p>
    <w:p w14:paraId="78EADD53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 xml:space="preserve">оценка значимости доказательств в соответствии с рейтинговой схемой доказательств (табл. А2.1. – А2.3.). </w:t>
      </w:r>
    </w:p>
    <w:p w14:paraId="6539B05C" w14:textId="77777777" w:rsidR="00B610A2" w:rsidRPr="008156B7" w:rsidRDefault="00A5446B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 xml:space="preserve">В соответствии с данным проектом рекомендаций отдельным общепринятым методикам диагностики на основании консенсуса экспертов придан уровень GPP (сложившаяся клиническая практика). </w:t>
      </w:r>
    </w:p>
    <w:p w14:paraId="712FB952" w14:textId="77777777" w:rsidR="00A5446B" w:rsidRPr="008156B7" w:rsidRDefault="00A5446B">
      <w:pPr>
        <w:spacing w:line="360" w:lineRule="auto"/>
        <w:rPr>
          <w:color w:val="000000" w:themeColor="text1"/>
        </w:rPr>
        <w:sectPr w:rsidR="00A5446B" w:rsidRPr="008156B7" w:rsidSect="00A5446B">
          <w:footerReference w:type="even" r:id="rId13"/>
          <w:pgSz w:w="11899" w:h="16841"/>
          <w:pgMar w:top="1418" w:right="851" w:bottom="1418" w:left="1418" w:header="720" w:footer="720" w:gutter="0"/>
          <w:cols w:space="720"/>
          <w:titlePg/>
        </w:sectPr>
      </w:pPr>
      <w:r w:rsidRPr="008156B7">
        <w:rPr>
          <w:color w:val="000000" w:themeColor="text1"/>
        </w:rPr>
        <w:t xml:space="preserve">Шкала оценки уровней достоверности доказательств для методов диагностики, профилактики, лечения и реабилитации (диагностических, профилактических, лечебных, реабилитационных вмешательств) и шкала оценки уровней убедительности рекомендаций для методов профилактики, диагностики, лечения и реабилитации (профилактических, диагностических, лечебных, реабилитационных вмешательств) представлены ниже. </w:t>
      </w:r>
    </w:p>
    <w:p w14:paraId="4EE58150" w14:textId="77777777" w:rsidR="00A5446B" w:rsidRPr="008156B7" w:rsidRDefault="00A5446B" w:rsidP="00A5446B">
      <w:pPr>
        <w:pStyle w:val="aff"/>
        <w:ind w:left="0" w:firstLine="0"/>
        <w:rPr>
          <w:color w:val="000000" w:themeColor="text1"/>
        </w:rPr>
      </w:pPr>
      <w:bookmarkStart w:id="93" w:name="_Toc146491641"/>
      <w:r w:rsidRPr="008156B7">
        <w:rPr>
          <w:color w:val="000000" w:themeColor="text1"/>
        </w:rPr>
        <w:lastRenderedPageBreak/>
        <w:t>Таблица П1 – Шкала оценки уровней достоверности доказательств (УДД) для методов диагностики (диагностических вмешательств)</w:t>
      </w:r>
      <w:bookmarkEnd w:id="93"/>
      <w:r w:rsidRPr="008156B7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8786"/>
      </w:tblGrid>
      <w:tr w:rsidR="00F661C3" w:rsidRPr="00F661C3" w14:paraId="0203B0A2" w14:textId="77777777" w:rsidTr="00A12957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C416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УДД*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5AA8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Расшифровка </w:t>
            </w:r>
          </w:p>
        </w:tc>
      </w:tr>
      <w:tr w:rsidR="00F661C3" w:rsidRPr="00F661C3" w14:paraId="31B0B0A8" w14:textId="77777777" w:rsidTr="00A12957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E2E8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D6FF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Систематические обзоры исследований с контролем референтным методом или систематический обзор рандомизированных клинических исследований с применением метаанализа </w:t>
            </w:r>
          </w:p>
        </w:tc>
      </w:tr>
      <w:tr w:rsidR="00F661C3" w:rsidRPr="00F661C3" w14:paraId="35D9E348" w14:textId="77777777" w:rsidTr="00A12957">
        <w:trPr>
          <w:trHeight w:val="1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E376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1C2D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метаанализа </w:t>
            </w:r>
          </w:p>
        </w:tc>
      </w:tr>
      <w:tr w:rsidR="00F661C3" w:rsidRPr="00F661C3" w14:paraId="50F994B0" w14:textId="77777777" w:rsidTr="00A12957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2171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AF2F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метода, или </w:t>
            </w:r>
            <w:proofErr w:type="spellStart"/>
            <w:r w:rsidRPr="008156B7">
              <w:rPr>
                <w:color w:val="000000" w:themeColor="text1"/>
              </w:rPr>
              <w:t>нерандомизированные</w:t>
            </w:r>
            <w:proofErr w:type="spellEnd"/>
            <w:r w:rsidRPr="008156B7">
              <w:rPr>
                <w:color w:val="000000" w:themeColor="text1"/>
              </w:rPr>
              <w:t xml:space="preserve"> сравнительные исследования, в том числе </w:t>
            </w:r>
            <w:proofErr w:type="spellStart"/>
            <w:r w:rsidRPr="008156B7">
              <w:rPr>
                <w:color w:val="000000" w:themeColor="text1"/>
              </w:rPr>
              <w:t>когортные</w:t>
            </w:r>
            <w:proofErr w:type="spellEnd"/>
            <w:r w:rsidRPr="008156B7">
              <w:rPr>
                <w:color w:val="000000" w:themeColor="text1"/>
              </w:rPr>
              <w:t xml:space="preserve"> исследования </w:t>
            </w:r>
          </w:p>
        </w:tc>
      </w:tr>
      <w:tr w:rsidR="00F661C3" w:rsidRPr="00F661C3" w14:paraId="4F82AD77" w14:textId="77777777" w:rsidTr="00A12957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0306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C3EA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proofErr w:type="spellStart"/>
            <w:r w:rsidRPr="008156B7">
              <w:rPr>
                <w:color w:val="000000" w:themeColor="text1"/>
              </w:rPr>
              <w:t>Несравнительные</w:t>
            </w:r>
            <w:proofErr w:type="spellEnd"/>
            <w:r w:rsidRPr="008156B7">
              <w:rPr>
                <w:color w:val="000000" w:themeColor="text1"/>
              </w:rPr>
              <w:t xml:space="preserve"> исследования, описание клинического случая </w:t>
            </w:r>
          </w:p>
        </w:tc>
      </w:tr>
      <w:tr w:rsidR="00E52071" w:rsidRPr="00F661C3" w14:paraId="7BF255AF" w14:textId="77777777" w:rsidTr="00A1295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96AE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72FD" w14:textId="77777777" w:rsidR="00A5446B" w:rsidRPr="008156B7" w:rsidRDefault="00A5446B" w:rsidP="00A12957">
            <w:pPr>
              <w:spacing w:line="336" w:lineRule="auto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Имеется лишь обоснование механизма действия или мнение экспертов </w:t>
            </w:r>
          </w:p>
        </w:tc>
      </w:tr>
    </w:tbl>
    <w:p w14:paraId="1ACE0B7E" w14:textId="77777777" w:rsidR="00A5446B" w:rsidRPr="008156B7" w:rsidRDefault="00A5446B" w:rsidP="00A5446B">
      <w:pPr>
        <w:rPr>
          <w:color w:val="000000" w:themeColor="text1"/>
        </w:rPr>
      </w:pPr>
    </w:p>
    <w:p w14:paraId="6D9BB06B" w14:textId="77777777" w:rsidR="00A5446B" w:rsidRPr="008156B7" w:rsidRDefault="00A5446B" w:rsidP="00A5446B">
      <w:pPr>
        <w:pStyle w:val="aff"/>
        <w:ind w:left="0" w:firstLine="0"/>
        <w:rPr>
          <w:color w:val="000000" w:themeColor="text1"/>
        </w:rPr>
      </w:pPr>
      <w:bookmarkStart w:id="94" w:name="_Toc146491642"/>
      <w:r w:rsidRPr="008156B7">
        <w:rPr>
          <w:color w:val="000000" w:themeColor="text1"/>
        </w:rPr>
        <w:t>Таблица П2 –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  <w:bookmarkEnd w:id="94"/>
      <w:r w:rsidRPr="008156B7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CellMar>
          <w:top w:w="57" w:type="dxa"/>
          <w:right w:w="48" w:type="dxa"/>
        </w:tblCellMar>
        <w:tblLook w:val="04A0" w:firstRow="1" w:lastRow="0" w:firstColumn="1" w:lastColumn="0" w:noHBand="0" w:noVBand="1"/>
      </w:tblPr>
      <w:tblGrid>
        <w:gridCol w:w="654"/>
        <w:gridCol w:w="8858"/>
      </w:tblGrid>
      <w:tr w:rsidR="00F661C3" w:rsidRPr="00F661C3" w14:paraId="0EE4ACD6" w14:textId="77777777" w:rsidTr="00A1295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FC4D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УДД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BA2A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Расшифровка </w:t>
            </w:r>
          </w:p>
        </w:tc>
      </w:tr>
      <w:tr w:rsidR="00F661C3" w:rsidRPr="00F661C3" w14:paraId="21746B50" w14:textId="77777777" w:rsidTr="00A12957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3D78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197B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Систематический обзор рандомизированных клинических исследований с применением метаанализа </w:t>
            </w:r>
          </w:p>
        </w:tc>
      </w:tr>
      <w:tr w:rsidR="00F661C3" w:rsidRPr="00F661C3" w14:paraId="1115CE6C" w14:textId="77777777" w:rsidTr="00A12957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97A2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E4D7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метаанализа </w:t>
            </w:r>
          </w:p>
        </w:tc>
      </w:tr>
      <w:tr w:rsidR="00F661C3" w:rsidRPr="00F661C3" w14:paraId="1A1B69A9" w14:textId="77777777" w:rsidTr="00A12957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AF33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E036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proofErr w:type="spellStart"/>
            <w:r w:rsidRPr="008156B7">
              <w:rPr>
                <w:color w:val="000000" w:themeColor="text1"/>
              </w:rPr>
              <w:t>Нерандомизированные</w:t>
            </w:r>
            <w:proofErr w:type="spellEnd"/>
            <w:r w:rsidRPr="008156B7">
              <w:rPr>
                <w:color w:val="000000" w:themeColor="text1"/>
              </w:rPr>
              <w:t xml:space="preserve"> сравнительные исследования, в том числе </w:t>
            </w:r>
            <w:proofErr w:type="spellStart"/>
            <w:r w:rsidRPr="008156B7">
              <w:rPr>
                <w:color w:val="000000" w:themeColor="text1"/>
              </w:rPr>
              <w:t>когортные</w:t>
            </w:r>
            <w:proofErr w:type="spellEnd"/>
            <w:r w:rsidRPr="008156B7">
              <w:rPr>
                <w:color w:val="000000" w:themeColor="text1"/>
              </w:rPr>
              <w:t xml:space="preserve"> исследования </w:t>
            </w:r>
          </w:p>
        </w:tc>
      </w:tr>
      <w:tr w:rsidR="00F661C3" w:rsidRPr="00F661C3" w14:paraId="559E4029" w14:textId="77777777" w:rsidTr="00A12957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3D8E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D2A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proofErr w:type="spellStart"/>
            <w:r w:rsidRPr="008156B7">
              <w:rPr>
                <w:color w:val="000000" w:themeColor="text1"/>
              </w:rPr>
              <w:t>Несравнительные</w:t>
            </w:r>
            <w:proofErr w:type="spellEnd"/>
            <w:r w:rsidRPr="008156B7">
              <w:rPr>
                <w:color w:val="000000" w:themeColor="text1"/>
              </w:rPr>
              <w:t xml:space="preserve"> исследования, описание клинического случая или серии случаев, исследование «случай–контроль» </w:t>
            </w:r>
          </w:p>
        </w:tc>
      </w:tr>
      <w:tr w:rsidR="00F661C3" w:rsidRPr="00F661C3" w14:paraId="5471045F" w14:textId="77777777" w:rsidTr="00A12957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3ECF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63D8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Имеется лишь обоснование механизма действия вмешательства (доклинические исследования) или мнение экспертов </w:t>
            </w:r>
          </w:p>
        </w:tc>
      </w:tr>
    </w:tbl>
    <w:p w14:paraId="0EC1A57A" w14:textId="77777777" w:rsidR="00A5446B" w:rsidRPr="008156B7" w:rsidRDefault="00A5446B" w:rsidP="00A5446B">
      <w:pPr>
        <w:rPr>
          <w:color w:val="000000" w:themeColor="text1"/>
        </w:rPr>
        <w:sectPr w:rsidR="00A5446B" w:rsidRPr="008156B7" w:rsidSect="00A12957">
          <w:type w:val="nextColumn"/>
          <w:pgSz w:w="11899" w:h="16841"/>
          <w:pgMar w:top="1418" w:right="851" w:bottom="1418" w:left="1418" w:header="720" w:footer="720" w:gutter="0"/>
          <w:cols w:space="720"/>
          <w:titlePg/>
        </w:sectPr>
      </w:pPr>
      <w:r w:rsidRPr="008156B7">
        <w:rPr>
          <w:color w:val="000000" w:themeColor="text1"/>
        </w:rPr>
        <w:t xml:space="preserve"> </w:t>
      </w:r>
    </w:p>
    <w:p w14:paraId="35F6018D" w14:textId="77777777" w:rsidR="00A5446B" w:rsidRPr="008156B7" w:rsidRDefault="00A5446B" w:rsidP="00A5446B">
      <w:pPr>
        <w:pStyle w:val="aff"/>
        <w:ind w:left="0" w:firstLine="0"/>
        <w:rPr>
          <w:color w:val="000000" w:themeColor="text1"/>
        </w:rPr>
      </w:pPr>
      <w:r w:rsidRPr="008156B7">
        <w:rPr>
          <w:color w:val="000000" w:themeColor="text1"/>
        </w:rPr>
        <w:lastRenderedPageBreak/>
        <w:t xml:space="preserve">Таблица П3.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 </w:t>
      </w:r>
    </w:p>
    <w:tbl>
      <w:tblPr>
        <w:tblW w:w="0" w:type="auto"/>
        <w:tblInd w:w="108" w:type="dxa"/>
        <w:tblCellMar>
          <w:top w:w="47" w:type="dxa"/>
          <w:right w:w="48" w:type="dxa"/>
        </w:tblCellMar>
        <w:tblLook w:val="04A0" w:firstRow="1" w:lastRow="0" w:firstColumn="1" w:lastColumn="0" w:noHBand="0" w:noVBand="1"/>
      </w:tblPr>
      <w:tblGrid>
        <w:gridCol w:w="630"/>
        <w:gridCol w:w="9032"/>
      </w:tblGrid>
      <w:tr w:rsidR="00F661C3" w:rsidRPr="00F661C3" w14:paraId="52B103C0" w14:textId="77777777" w:rsidTr="00A12957">
        <w:trPr>
          <w:trHeight w:val="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5BF5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УУР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A8C3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Расшифровка </w:t>
            </w:r>
          </w:p>
        </w:tc>
      </w:tr>
      <w:tr w:rsidR="00F661C3" w:rsidRPr="00F661C3" w14:paraId="04ACD308" w14:textId="77777777" w:rsidTr="00A12957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BE74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62F4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F661C3" w:rsidRPr="00F661C3" w14:paraId="4292ADB8" w14:textId="77777777" w:rsidTr="00A12957">
        <w:trPr>
          <w:trHeight w:val="1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889B5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7EC1C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</w:t>
            </w:r>
          </w:p>
          <w:p w14:paraId="0F69B26F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(исходы) являются важными, не все исследования имеют высокое или </w:t>
            </w:r>
          </w:p>
          <w:p w14:paraId="64EF1201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E52071" w:rsidRPr="00F661C3" w14:paraId="132B0EBB" w14:textId="77777777" w:rsidTr="00A12957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4144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83E1" w14:textId="77777777" w:rsidR="00A5446B" w:rsidRPr="008156B7" w:rsidRDefault="00A5446B" w:rsidP="00A12957">
            <w:pPr>
              <w:spacing w:line="336" w:lineRule="auto"/>
              <w:ind w:right="-11"/>
              <w:rPr>
                <w:color w:val="000000" w:themeColor="text1"/>
              </w:rPr>
            </w:pPr>
            <w:r w:rsidRPr="008156B7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14:paraId="75E0D40D" w14:textId="77777777" w:rsidR="00A5446B" w:rsidRPr="008156B7" w:rsidRDefault="00A5446B" w:rsidP="00A5446B">
      <w:pPr>
        <w:rPr>
          <w:color w:val="000000" w:themeColor="text1"/>
        </w:rPr>
      </w:pPr>
      <w:bookmarkStart w:id="95" w:name="_Toc146491643"/>
    </w:p>
    <w:p w14:paraId="4D33F8CC" w14:textId="77777777" w:rsidR="00B610A2" w:rsidRPr="008156B7" w:rsidRDefault="00A5446B" w:rsidP="008156B7">
      <w:pPr>
        <w:spacing w:line="360" w:lineRule="auto"/>
        <w:rPr>
          <w:b/>
          <w:bCs/>
          <w:color w:val="000000" w:themeColor="text1"/>
        </w:rPr>
      </w:pPr>
      <w:bookmarkStart w:id="96" w:name="_Toc146491645"/>
      <w:bookmarkEnd w:id="95"/>
      <w:r w:rsidRPr="008156B7">
        <w:rPr>
          <w:b/>
          <w:bCs/>
          <w:color w:val="000000" w:themeColor="text1"/>
        </w:rPr>
        <w:t>Порядок обновления клинических рекомендаций</w:t>
      </w:r>
      <w:bookmarkEnd w:id="96"/>
    </w:p>
    <w:p w14:paraId="5DDC9089" w14:textId="77777777" w:rsidR="00B610A2" w:rsidRPr="008156B7" w:rsidRDefault="00A5446B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>Актуализация проводится не реже чем один раз в три года или ранее с учетом появившейся новой информации о диагностике и тактике ведения пациентов. Решение об обновлении принимает Минздрав России на основе предложений, представленных медицинскими профессиональными некоммерческими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14:paraId="71A1BD38" w14:textId="77777777" w:rsidR="00A5446B" w:rsidRPr="008156B7" w:rsidRDefault="00A5446B" w:rsidP="00A5446B">
      <w:pPr>
        <w:rPr>
          <w:color w:val="000000" w:themeColor="text1"/>
        </w:rPr>
      </w:pPr>
      <w:r w:rsidRPr="008156B7">
        <w:rPr>
          <w:color w:val="000000" w:themeColor="text1"/>
        </w:rPr>
        <w:br w:type="page"/>
      </w:r>
    </w:p>
    <w:p w14:paraId="64E50B4C" w14:textId="77777777" w:rsidR="00B610A2" w:rsidRPr="008156B7" w:rsidRDefault="00B610A2" w:rsidP="008156B7">
      <w:pPr>
        <w:rPr>
          <w:color w:val="000000" w:themeColor="text1"/>
        </w:rPr>
      </w:pPr>
    </w:p>
    <w:p w14:paraId="2A2F5F2C" w14:textId="519BDB54" w:rsidR="00AE37FB" w:rsidRPr="008156B7" w:rsidRDefault="00F52CFD">
      <w:pPr>
        <w:pStyle w:val="afb"/>
        <w:spacing w:line="360" w:lineRule="auto"/>
        <w:jc w:val="both"/>
        <w:rPr>
          <w:color w:val="000000" w:themeColor="text1"/>
        </w:rPr>
      </w:pPr>
      <w:bookmarkStart w:id="97" w:name="_3whwml4" w:colFirst="0" w:colLast="0"/>
      <w:bookmarkStart w:id="98" w:name="__RefHeading___doc_a3"/>
      <w:bookmarkStart w:id="99" w:name="_Toc26477711"/>
      <w:bookmarkEnd w:id="97"/>
      <w:r w:rsidRPr="008156B7">
        <w:rPr>
          <w:color w:val="000000" w:themeColor="text1"/>
        </w:rPr>
        <w:t xml:space="preserve">Приложение А3. </w:t>
      </w:r>
      <w:bookmarkEnd w:id="98"/>
      <w:r w:rsidRPr="008156B7">
        <w:rPr>
          <w:color w:val="000000" w:themeColor="text1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99"/>
    </w:p>
    <w:p w14:paraId="495AA23C" w14:textId="26FE769E" w:rsidR="00A5446B" w:rsidRPr="008156B7" w:rsidRDefault="00A5446B">
      <w:pPr>
        <w:pStyle w:val="afb"/>
        <w:spacing w:line="360" w:lineRule="auto"/>
        <w:jc w:val="both"/>
        <w:rPr>
          <w:b w:val="0"/>
          <w:bCs/>
          <w:color w:val="000000" w:themeColor="text1"/>
          <w:sz w:val="24"/>
          <w:szCs w:val="24"/>
        </w:rPr>
      </w:pPr>
      <w:r w:rsidRPr="008156B7">
        <w:rPr>
          <w:b w:val="0"/>
          <w:bCs/>
          <w:color w:val="000000" w:themeColor="text1"/>
        </w:rPr>
        <w:t>Данные клинические рекомендации разработаны с учетом следующих нормативно-правовых документов:</w:t>
      </w:r>
    </w:p>
    <w:p w14:paraId="350EB66F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>Приказ Министерства здравоохранения РФ от 28 февраля 2019 г. N 103н "Об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обоснованности, включаемой в клинические рекомендации информации" (с изменениями и дополнениями)</w:t>
      </w:r>
    </w:p>
    <w:p w14:paraId="1079839D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>Приказ Министерства здравоохранения РФ от 28 февраля 2019 г. N 104н "Об утверждении порядка и сроков одобрения и утверждения клинических рекомендаций, критериев принятия научно-практическим советом решения об одобрении, отклонении или направлении на доработку клинических рекомендаций либо решения об их пересмотре"</w:t>
      </w:r>
    </w:p>
    <w:p w14:paraId="20BAD5DC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>Приказ Министерства здравоохранения РФ от 15 ноября 2012 г. N 922н "Об утверждении Порядка оказания медицинской помощи взрослому населению по профилю "хирургия" (с изменениями и дополнениями от 21.02.2020 г.)</w:t>
      </w:r>
    </w:p>
    <w:p w14:paraId="3AAB18C3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>Приказ Министерства здравоохранения Российской Федерации от 10 мая 2017 г. N 203н "Об утверждении критериев оценки качества медицинской помощи».</w:t>
      </w:r>
    </w:p>
    <w:p w14:paraId="50E1C163" w14:textId="77777777" w:rsidR="00A5446B" w:rsidRPr="008156B7" w:rsidRDefault="00A5446B" w:rsidP="00A5446B">
      <w:pPr>
        <w:pStyle w:val="a"/>
        <w:rPr>
          <w:color w:val="000000" w:themeColor="text1"/>
        </w:rPr>
      </w:pPr>
      <w:r w:rsidRPr="008156B7">
        <w:rPr>
          <w:color w:val="000000" w:themeColor="text1"/>
        </w:rPr>
        <w:t xml:space="preserve">Клинические рекомендации Министерства здравоохранения РФ «Язвенная болезнь» (ID 277) </w:t>
      </w:r>
    </w:p>
    <w:p w14:paraId="7FC4D6EA" w14:textId="77777777" w:rsidR="00C0378A" w:rsidRPr="008156B7" w:rsidRDefault="00C0378A" w:rsidP="00C0378A">
      <w:pPr>
        <w:pStyle w:val="a"/>
        <w:numPr>
          <w:ilvl w:val="0"/>
          <w:numId w:val="0"/>
        </w:numPr>
        <w:rPr>
          <w:color w:val="000000" w:themeColor="text1"/>
        </w:rPr>
      </w:pPr>
    </w:p>
    <w:p w14:paraId="3D75DB0D" w14:textId="77777777" w:rsidR="00C0378A" w:rsidRPr="008156B7" w:rsidRDefault="00C0378A" w:rsidP="00C0378A">
      <w:pPr>
        <w:pStyle w:val="a"/>
        <w:numPr>
          <w:ilvl w:val="0"/>
          <w:numId w:val="0"/>
        </w:numPr>
        <w:rPr>
          <w:color w:val="000000" w:themeColor="text1"/>
        </w:rPr>
      </w:pP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</w:p>
    <w:p w14:paraId="6D6147EE" w14:textId="77777777" w:rsidR="00A5446B" w:rsidRPr="008156B7" w:rsidRDefault="00A5446B">
      <w:pPr>
        <w:pStyle w:val="afb"/>
        <w:spacing w:line="360" w:lineRule="auto"/>
        <w:jc w:val="both"/>
        <w:rPr>
          <w:color w:val="000000" w:themeColor="text1"/>
        </w:rPr>
      </w:pPr>
    </w:p>
    <w:p w14:paraId="481156DE" w14:textId="2C4C9C87" w:rsidR="00B610A2" w:rsidRPr="008156B7" w:rsidRDefault="00C0378A" w:rsidP="008156B7">
      <w:pPr>
        <w:spacing w:line="360" w:lineRule="auto"/>
        <w:rPr>
          <w:color w:val="000000" w:themeColor="text1"/>
        </w:rPr>
      </w:pP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  <w:r w:rsidRPr="008156B7">
        <w:rPr>
          <w:color w:val="000000" w:themeColor="text1"/>
        </w:rPr>
        <w:tab/>
      </w:r>
    </w:p>
    <w:p w14:paraId="5C3E6195" w14:textId="121DBB44" w:rsidR="00AE37FB" w:rsidRPr="008156B7" w:rsidRDefault="00AE37FB">
      <w:pPr>
        <w:pStyle w:val="10"/>
        <w:spacing w:line="360" w:lineRule="auto"/>
        <w:rPr>
          <w:color w:val="000000" w:themeColor="text1"/>
        </w:rPr>
      </w:pPr>
      <w:bookmarkStart w:id="100" w:name="_2bn6wsx" w:colFirst="0" w:colLast="0"/>
      <w:bookmarkEnd w:id="100"/>
    </w:p>
    <w:p w14:paraId="0A0A9496" w14:textId="19A5D97A" w:rsidR="00A5446B" w:rsidRPr="006F7A3D" w:rsidRDefault="00A5446B" w:rsidP="00A5446B">
      <w:bookmarkStart w:id="101" w:name="_qsh70q" w:colFirst="0" w:colLast="0"/>
      <w:bookmarkEnd w:id="101"/>
    </w:p>
    <w:p w14:paraId="52F2FFD4" w14:textId="77777777" w:rsidR="00A5446B" w:rsidRPr="006F7A3D" w:rsidRDefault="00A5446B" w:rsidP="00A5446B"/>
    <w:p w14:paraId="4F4D50D7" w14:textId="77777777" w:rsidR="00A5446B" w:rsidRPr="006F7A3D" w:rsidRDefault="00A5446B" w:rsidP="00A5446B"/>
    <w:p w14:paraId="6423265D" w14:textId="77777777" w:rsidR="00A5446B" w:rsidRPr="006F7A3D" w:rsidRDefault="00A5446B" w:rsidP="00A5446B"/>
    <w:p w14:paraId="3383AAF5" w14:textId="77777777" w:rsidR="00A5446B" w:rsidRPr="006F7A3D" w:rsidRDefault="00A5446B" w:rsidP="00A5446B"/>
    <w:p w14:paraId="5D42456E" w14:textId="0A94D286" w:rsidR="00A5446B" w:rsidRPr="006F7A3D" w:rsidRDefault="00A5446B" w:rsidP="00A5446B">
      <w:r w:rsidRPr="006F7A3D">
        <w:rPr>
          <w:color w:val="231F20"/>
        </w:rPr>
        <w:t xml:space="preserve"> </w:t>
      </w:r>
    </w:p>
    <w:p w14:paraId="526E714A" w14:textId="77777777" w:rsidR="00AE37FB" w:rsidRDefault="00A5446B" w:rsidP="00A5446B">
      <w:pPr>
        <w:rPr>
          <w:rFonts w:eastAsia="Sans" w:cstheme="minorBidi"/>
          <w:b/>
          <w:sz w:val="28"/>
          <w:szCs w:val="22"/>
          <w:lang w:eastAsia="en-US"/>
        </w:rPr>
      </w:pPr>
      <w:r>
        <w:br w:type="page"/>
      </w:r>
    </w:p>
    <w:p w14:paraId="71FD0609" w14:textId="77777777" w:rsidR="00AE37FB" w:rsidRDefault="00F52CFD">
      <w:pPr>
        <w:pStyle w:val="10"/>
        <w:spacing w:line="360" w:lineRule="auto"/>
        <w:rPr>
          <w:rFonts w:eastAsia="Sans" w:cstheme="minorBidi"/>
          <w:sz w:val="28"/>
          <w:szCs w:val="22"/>
          <w:u w:val="none"/>
          <w:lang w:eastAsia="en-US"/>
        </w:rPr>
      </w:pPr>
      <w:bookmarkStart w:id="102" w:name="_Toc26477713"/>
      <w:r>
        <w:rPr>
          <w:rFonts w:eastAsia="Sans" w:cstheme="minorBidi"/>
          <w:sz w:val="28"/>
          <w:szCs w:val="22"/>
          <w:u w:val="none"/>
          <w:lang w:eastAsia="en-US"/>
        </w:rPr>
        <w:lastRenderedPageBreak/>
        <w:t>Приложение В. Информация для пациента</w:t>
      </w:r>
      <w:bookmarkEnd w:id="102"/>
    </w:p>
    <w:p w14:paraId="05924EE0" w14:textId="4825FBB6" w:rsidR="00474A5E" w:rsidRDefault="009A2C01" w:rsidP="00474A5E">
      <w:pPr>
        <w:spacing w:line="360" w:lineRule="auto"/>
        <w:ind w:firstLine="720"/>
      </w:pPr>
      <w:r>
        <w:t>Основной причиной развития</w:t>
      </w:r>
      <w:r w:rsidR="00F52CFD">
        <w:t xml:space="preserve"> </w:t>
      </w:r>
      <w:r>
        <w:t xml:space="preserve">синдрома </w:t>
      </w:r>
      <w:proofErr w:type="spellStart"/>
      <w:r>
        <w:t>Мэллори-Вейсса</w:t>
      </w:r>
      <w:proofErr w:type="spellEnd"/>
      <w:r w:rsidR="00F52CFD">
        <w:t xml:space="preserve">, в настоящее время </w:t>
      </w:r>
      <w:r>
        <w:t>является повышение внутрибрюшного давления (обычно вызванного рвотой), которое приводит к разрыву стенки пищевода и/или желудка с последующим кровотечением из краев разрыва</w:t>
      </w:r>
      <w:r w:rsidR="00F52CFD">
        <w:t xml:space="preserve">. </w:t>
      </w:r>
      <w:r>
        <w:t xml:space="preserve">Предрасполагающим фактором является наличие грыжи пищеводного отверстия </w:t>
      </w:r>
      <w:proofErr w:type="spellStart"/>
      <w:r>
        <w:t>диафргамы</w:t>
      </w:r>
      <w:proofErr w:type="spellEnd"/>
      <w:r>
        <w:t xml:space="preserve">, а также заболевания верхних отделов желудочно-кишечного </w:t>
      </w:r>
      <w:r w:rsidR="00474A5E">
        <w:t>тракта.</w:t>
      </w:r>
      <w:r w:rsidR="00F52CFD">
        <w:t xml:space="preserve"> </w:t>
      </w:r>
    </w:p>
    <w:p w14:paraId="12DD8587" w14:textId="1D002486" w:rsidR="00AE37FB" w:rsidRDefault="00474A5E" w:rsidP="00474A5E">
      <w:pPr>
        <w:spacing w:line="360" w:lineRule="auto"/>
        <w:ind w:firstLine="720"/>
      </w:pPr>
      <w:r>
        <w:t>Такой пациент</w:t>
      </w:r>
      <w:r w:rsidR="00F52CFD">
        <w:t xml:space="preserve"> должен соблюдать диету (частое, дробное питание, химически, механически и термически щадящая пища), быть очень осторожным при приеме препаратов, обладающих повреждающим действием на слизистую оболочку желудка и двенадцатиперстной кишки (ацетилсалициловая кислота, нестероидные противовоспалительные препараты). </w:t>
      </w:r>
      <w:r>
        <w:t>Исключить прием алкоголя и курение.</w:t>
      </w:r>
    </w:p>
    <w:p w14:paraId="6FEB5E97" w14:textId="58EAE36E" w:rsidR="00E52071" w:rsidRDefault="00474A5E" w:rsidP="00474A5E">
      <w:pPr>
        <w:spacing w:line="360" w:lineRule="auto"/>
        <w:ind w:firstLine="720"/>
      </w:pPr>
      <w:r>
        <w:t>Пищеводно-желудочное кровотечение</w:t>
      </w:r>
      <w:r w:rsidR="00E52071" w:rsidRPr="006F7A3D">
        <w:t xml:space="preserve"> – это тяжёлое </w:t>
      </w:r>
      <w:r>
        <w:t xml:space="preserve">проявление синдрома </w:t>
      </w:r>
      <w:proofErr w:type="spellStart"/>
      <w:r>
        <w:t>Мэллори-Вейсса</w:t>
      </w:r>
      <w:proofErr w:type="spellEnd"/>
      <w:r>
        <w:t xml:space="preserve">. </w:t>
      </w:r>
      <w:r w:rsidR="00E52071" w:rsidRPr="006F7A3D">
        <w:t xml:space="preserve">Обычно кровотечение характеризуется </w:t>
      </w:r>
      <w:r>
        <w:t>рвотой кровью со сгустками после многократной «сухой» рвоты</w:t>
      </w:r>
      <w:r w:rsidR="00E52071" w:rsidRPr="006F7A3D">
        <w:t>, появлением слабости, головокружения, бледности кожных покровов и других признаков острой кровопотери. Состояние сопровождается рвотой кровью и/или зловонным стулом черного цвета (меленой). Пациента необходимо уложить до приезда скорой помощи, проследить чтобы не произошло аспирации рвотных масс. Запрещается прием пищи и жидкости.</w:t>
      </w:r>
    </w:p>
    <w:p w14:paraId="3398AD95" w14:textId="77777777" w:rsidR="00E52071" w:rsidRDefault="00E52071" w:rsidP="00E52071">
      <w:pPr>
        <w:spacing w:line="360" w:lineRule="auto"/>
      </w:pPr>
    </w:p>
    <w:p w14:paraId="587CC3A2" w14:textId="77777777" w:rsidR="009A2C01" w:rsidRDefault="009A2C01" w:rsidP="00E52071">
      <w:pPr>
        <w:spacing w:line="360" w:lineRule="auto"/>
      </w:pPr>
    </w:p>
    <w:p w14:paraId="456A0182" w14:textId="77777777" w:rsidR="009A2C01" w:rsidRDefault="009A2C01" w:rsidP="00E52071">
      <w:pPr>
        <w:spacing w:line="360" w:lineRule="auto"/>
      </w:pPr>
    </w:p>
    <w:p w14:paraId="0EC8A209" w14:textId="77777777" w:rsidR="009A2C01" w:rsidRDefault="009A2C01" w:rsidP="00E52071">
      <w:pPr>
        <w:spacing w:line="360" w:lineRule="auto"/>
      </w:pPr>
    </w:p>
    <w:p w14:paraId="41FCE386" w14:textId="77777777" w:rsidR="009A2C01" w:rsidRDefault="009A2C01" w:rsidP="00E52071">
      <w:pPr>
        <w:spacing w:line="360" w:lineRule="auto"/>
      </w:pPr>
    </w:p>
    <w:p w14:paraId="1DB1649F" w14:textId="77777777" w:rsidR="009A2C01" w:rsidRDefault="009A2C01" w:rsidP="00E52071">
      <w:pPr>
        <w:spacing w:line="360" w:lineRule="auto"/>
      </w:pPr>
    </w:p>
    <w:p w14:paraId="4623D232" w14:textId="77777777" w:rsidR="00474A5E" w:rsidRDefault="00474A5E" w:rsidP="00E52071">
      <w:pPr>
        <w:spacing w:line="360" w:lineRule="auto"/>
      </w:pPr>
    </w:p>
    <w:p w14:paraId="67439CD5" w14:textId="77777777" w:rsidR="00474A5E" w:rsidRDefault="00474A5E" w:rsidP="00E52071">
      <w:pPr>
        <w:spacing w:line="360" w:lineRule="auto"/>
      </w:pPr>
    </w:p>
    <w:p w14:paraId="27E47AF6" w14:textId="77777777" w:rsidR="00474A5E" w:rsidRDefault="00474A5E" w:rsidP="00E52071">
      <w:pPr>
        <w:spacing w:line="360" w:lineRule="auto"/>
      </w:pPr>
    </w:p>
    <w:p w14:paraId="034DF235" w14:textId="77777777" w:rsidR="00474A5E" w:rsidRDefault="00474A5E" w:rsidP="00E52071">
      <w:pPr>
        <w:spacing w:line="360" w:lineRule="auto"/>
      </w:pPr>
    </w:p>
    <w:p w14:paraId="60518FA1" w14:textId="77777777" w:rsidR="00474A5E" w:rsidRDefault="00474A5E" w:rsidP="00E52071">
      <w:pPr>
        <w:spacing w:line="360" w:lineRule="auto"/>
      </w:pPr>
    </w:p>
    <w:p w14:paraId="33FFEC0F" w14:textId="77777777" w:rsidR="00474A5E" w:rsidRDefault="00474A5E" w:rsidP="00E52071">
      <w:pPr>
        <w:spacing w:line="360" w:lineRule="auto"/>
      </w:pPr>
    </w:p>
    <w:p w14:paraId="0348082C" w14:textId="77777777" w:rsidR="00E52071" w:rsidRPr="00474A5E" w:rsidRDefault="00E52071" w:rsidP="00E52071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bookmarkStart w:id="103" w:name="_Toc146739038"/>
      <w:bookmarkStart w:id="104" w:name="_Toc172838904"/>
      <w:bookmarkStart w:id="105" w:name="_Toc172841354"/>
      <w:bookmarkStart w:id="106" w:name="_Toc172841603"/>
      <w:r w:rsidRPr="00474A5E">
        <w:rPr>
          <w:rFonts w:ascii="Times New Roman" w:hAnsi="Times New Roman" w:cs="Times New Roman"/>
          <w:b/>
          <w:color w:val="000000" w:themeColor="text1"/>
        </w:rPr>
        <w:lastRenderedPageBreak/>
        <w:t>Приложение Г. Шкалы оценки, вопросники и другие оценочные инструменты состояния пациента, приведённые в клинических рекомендациях</w:t>
      </w:r>
      <w:bookmarkEnd w:id="103"/>
      <w:r w:rsidRPr="00474A5E">
        <w:rPr>
          <w:rFonts w:ascii="Times New Roman" w:hAnsi="Times New Roman" w:cs="Times New Roman"/>
          <w:b/>
          <w:color w:val="000000" w:themeColor="text1"/>
        </w:rPr>
        <w:t xml:space="preserve"> </w:t>
      </w:r>
      <w:bookmarkEnd w:id="104"/>
      <w:bookmarkEnd w:id="105"/>
      <w:bookmarkEnd w:id="106"/>
    </w:p>
    <w:p w14:paraId="7C0FBA63" w14:textId="77777777" w:rsidR="00474A5E" w:rsidRDefault="00474A5E" w:rsidP="00E52071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07" w:name="_bookmark17"/>
      <w:bookmarkStart w:id="108" w:name="_Toc146491649"/>
      <w:bookmarkStart w:id="109" w:name="_Toc146739039"/>
      <w:bookmarkStart w:id="110" w:name="_Toc172838905"/>
      <w:bookmarkStart w:id="111" w:name="_Toc172841355"/>
      <w:bookmarkStart w:id="112" w:name="_Toc172841604"/>
      <w:bookmarkEnd w:id="107"/>
    </w:p>
    <w:p w14:paraId="7D6E27B1" w14:textId="77777777" w:rsidR="00E52071" w:rsidRPr="00474A5E" w:rsidRDefault="00E52071" w:rsidP="00E52071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4A5E">
        <w:rPr>
          <w:rFonts w:ascii="Times New Roman" w:hAnsi="Times New Roman" w:cs="Times New Roman"/>
          <w:b/>
          <w:color w:val="000000" w:themeColor="text1"/>
        </w:rPr>
        <w:t xml:space="preserve">Приложение Г1. </w:t>
      </w:r>
    </w:p>
    <w:p w14:paraId="05F5BBD9" w14:textId="77777777" w:rsidR="00E52071" w:rsidRPr="00E52071" w:rsidRDefault="00E52071" w:rsidP="00E52071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2071">
        <w:rPr>
          <w:rFonts w:ascii="Times New Roman" w:hAnsi="Times New Roman" w:cs="Times New Roman"/>
          <w:color w:val="000000" w:themeColor="text1"/>
        </w:rPr>
        <w:t>Степень тяжести кровопотери</w:t>
      </w:r>
      <w:bookmarkEnd w:id="108"/>
      <w:bookmarkEnd w:id="109"/>
      <w:bookmarkEnd w:id="110"/>
      <w:bookmarkEnd w:id="111"/>
      <w:bookmarkEnd w:id="112"/>
    </w:p>
    <w:p w14:paraId="3F3438B1" w14:textId="77777777" w:rsidR="00E52071" w:rsidRPr="00E52071" w:rsidRDefault="00E52071" w:rsidP="00E52071">
      <w:pPr>
        <w:spacing w:line="360" w:lineRule="auto"/>
      </w:pPr>
      <w:r w:rsidRPr="00E52071">
        <w:rPr>
          <w:b/>
          <w:bCs/>
        </w:rPr>
        <w:t>Источник:</w:t>
      </w:r>
      <w:r w:rsidRPr="00E52071">
        <w:t xml:space="preserve"> </w:t>
      </w:r>
      <w:proofErr w:type="spellStart"/>
      <w:r w:rsidRPr="00E52071">
        <w:t>Горбашко</w:t>
      </w:r>
      <w:proofErr w:type="spellEnd"/>
      <w:r w:rsidRPr="00E52071">
        <w:t xml:space="preserve"> А.И. Диагностика и лечение кровопотери / А.И. </w:t>
      </w:r>
      <w:proofErr w:type="spellStart"/>
      <w:r w:rsidRPr="00E52071">
        <w:t>Горбашко</w:t>
      </w:r>
      <w:proofErr w:type="spellEnd"/>
      <w:r w:rsidRPr="00E52071">
        <w:t xml:space="preserve"> – Л., 1982. – 224. </w:t>
      </w:r>
    </w:p>
    <w:p w14:paraId="516FB55E" w14:textId="77777777" w:rsidR="00E52071" w:rsidRDefault="00E52071" w:rsidP="00E52071">
      <w:pPr>
        <w:pStyle w:val="aff"/>
        <w:ind w:left="0" w:firstLine="0"/>
        <w:rPr>
          <w:b/>
          <w:bCs/>
        </w:rPr>
      </w:pPr>
    </w:p>
    <w:p w14:paraId="458DB389" w14:textId="77777777" w:rsidR="00E52071" w:rsidRPr="00B35958" w:rsidRDefault="00E52071" w:rsidP="00E52071">
      <w:pPr>
        <w:pStyle w:val="aff"/>
        <w:ind w:left="0" w:firstLine="0"/>
        <w:rPr>
          <w:b/>
          <w:bCs/>
        </w:rPr>
      </w:pPr>
      <w:r w:rsidRPr="00B35958">
        <w:rPr>
          <w:b/>
          <w:bCs/>
        </w:rPr>
        <w:t>Тип (подчеркнуть):</w:t>
      </w:r>
    </w:p>
    <w:p w14:paraId="682D672F" w14:textId="77777777" w:rsidR="00E52071" w:rsidRPr="00B35958" w:rsidRDefault="00E52071" w:rsidP="00E52071">
      <w:pPr>
        <w:pStyle w:val="aff"/>
      </w:pPr>
      <w:r w:rsidRPr="00B35958">
        <w:rPr>
          <w:b/>
          <w:bCs/>
        </w:rPr>
        <w:t xml:space="preserve">    </w:t>
      </w:r>
      <w:r w:rsidRPr="00B35958">
        <w:t xml:space="preserve">- </w:t>
      </w:r>
      <w:r w:rsidRPr="00B35958">
        <w:rPr>
          <w:u w:val="single"/>
        </w:rPr>
        <w:t>шкала оценки</w:t>
      </w:r>
    </w:p>
    <w:p w14:paraId="30DC5CCD" w14:textId="77777777" w:rsidR="00E52071" w:rsidRPr="00B35958" w:rsidRDefault="00E52071" w:rsidP="00E52071">
      <w:pPr>
        <w:pStyle w:val="aff"/>
      </w:pPr>
      <w:r w:rsidRPr="00B35958">
        <w:t xml:space="preserve">    - индекс</w:t>
      </w:r>
    </w:p>
    <w:p w14:paraId="10E0FF70" w14:textId="77777777" w:rsidR="00E52071" w:rsidRPr="00DD743F" w:rsidRDefault="00E52071" w:rsidP="00E52071">
      <w:pPr>
        <w:pStyle w:val="aff"/>
      </w:pPr>
      <w:r w:rsidRPr="00B35958">
        <w:t xml:space="preserve">    - вопросник</w:t>
      </w:r>
    </w:p>
    <w:p w14:paraId="22B432CC" w14:textId="77777777" w:rsidR="00E52071" w:rsidRPr="00DD743F" w:rsidRDefault="00E52071" w:rsidP="00E52071">
      <w:pPr>
        <w:pStyle w:val="aff"/>
        <w:rPr>
          <w:b/>
          <w:bCs/>
        </w:rPr>
      </w:pPr>
      <w:r w:rsidRPr="00DD743F">
        <w:rPr>
          <w:b/>
          <w:bCs/>
        </w:rPr>
        <w:t xml:space="preserve">   </w:t>
      </w:r>
      <w:r w:rsidRPr="00B35958">
        <w:rPr>
          <w:b/>
          <w:bCs/>
        </w:rPr>
        <w:t xml:space="preserve"> </w:t>
      </w:r>
      <w:r w:rsidRPr="00B35958">
        <w:t>- другое (уточнить):</w:t>
      </w:r>
      <w:r w:rsidRPr="00B35958">
        <w:rPr>
          <w:b/>
          <w:bCs/>
        </w:rPr>
        <w:t xml:space="preserve"> </w:t>
      </w:r>
    </w:p>
    <w:p w14:paraId="760D7E0B" w14:textId="77777777" w:rsidR="00E52071" w:rsidRPr="006F7A3D" w:rsidRDefault="00E52071" w:rsidP="00E52071">
      <w:pPr>
        <w:pStyle w:val="aff"/>
        <w:ind w:left="0" w:firstLine="0"/>
      </w:pPr>
      <w:r w:rsidRPr="006F7A3D">
        <w:rPr>
          <w:b/>
          <w:bCs/>
        </w:rPr>
        <w:t>Назначение:</w:t>
      </w:r>
      <w:r w:rsidRPr="006F7A3D">
        <w:t xml:space="preserve"> определение степени тяжести кровопотери </w:t>
      </w:r>
    </w:p>
    <w:p w14:paraId="7EA96633" w14:textId="77777777" w:rsidR="00E52071" w:rsidRPr="00B35958" w:rsidRDefault="00E52071" w:rsidP="00E52071">
      <w:pPr>
        <w:pStyle w:val="aff"/>
        <w:ind w:left="0" w:firstLine="0"/>
        <w:rPr>
          <w:b/>
          <w:bCs/>
        </w:rPr>
      </w:pPr>
      <w:r w:rsidRPr="00B35958">
        <w:rPr>
          <w:b/>
          <w:bCs/>
        </w:rPr>
        <w:t xml:space="preserve">Содержание: </w:t>
      </w:r>
    </w:p>
    <w:tbl>
      <w:tblPr>
        <w:tblW w:w="9640" w:type="dxa"/>
        <w:tblInd w:w="8" w:type="dxa"/>
        <w:tblCellMar>
          <w:top w:w="12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2410"/>
        <w:gridCol w:w="1558"/>
      </w:tblGrid>
      <w:tr w:rsidR="00E52071" w:rsidRPr="006F7A3D" w14:paraId="247D6A23" w14:textId="77777777" w:rsidTr="00A12957">
        <w:trPr>
          <w:trHeight w:val="427"/>
        </w:trPr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2BC9F" w14:textId="77777777" w:rsidR="00E52071" w:rsidRPr="006F7A3D" w:rsidRDefault="00E52071" w:rsidP="00A12957">
            <w:r w:rsidRPr="006F7A3D">
              <w:t>Показатель кровопотери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AF09D" w14:textId="77777777" w:rsidR="00E52071" w:rsidRPr="006F7A3D" w:rsidRDefault="00E52071" w:rsidP="00A12957">
            <w:r>
              <w:t xml:space="preserve"> </w:t>
            </w:r>
            <w:r w:rsidRPr="006F7A3D">
              <w:t>Степень кровопотери</w:t>
            </w:r>
          </w:p>
        </w:tc>
      </w:tr>
      <w:tr w:rsidR="00E52071" w:rsidRPr="006F7A3D" w14:paraId="7DBD559E" w14:textId="77777777" w:rsidTr="00A1295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D95E8" w14:textId="77777777" w:rsidR="00E52071" w:rsidRPr="006F7A3D" w:rsidRDefault="00E52071" w:rsidP="00A1295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CD346" w14:textId="77777777" w:rsidR="00E52071" w:rsidRPr="006F7A3D" w:rsidRDefault="00E52071" w:rsidP="00A12957">
            <w:r>
              <w:t xml:space="preserve"> Л</w:t>
            </w:r>
            <w:r w:rsidRPr="006F7A3D">
              <w:t>егкая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1725" w14:textId="77777777" w:rsidR="00E52071" w:rsidRPr="006F7A3D" w:rsidRDefault="00E52071" w:rsidP="00A12957">
            <w:r>
              <w:t xml:space="preserve"> С</w:t>
            </w:r>
            <w:r w:rsidRPr="006F7A3D">
              <w:t>редняя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EC3E1" w14:textId="77777777" w:rsidR="00E52071" w:rsidRPr="006F7A3D" w:rsidRDefault="00E52071" w:rsidP="00A12957">
            <w:r>
              <w:t xml:space="preserve"> Т</w:t>
            </w:r>
            <w:r w:rsidRPr="006F7A3D">
              <w:t>яжелая</w:t>
            </w:r>
          </w:p>
        </w:tc>
      </w:tr>
      <w:tr w:rsidR="00E52071" w:rsidRPr="006F7A3D" w14:paraId="7D56A6E4" w14:textId="77777777" w:rsidTr="00A12957">
        <w:trPr>
          <w:trHeight w:val="43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A8828" w14:textId="77777777" w:rsidR="00E52071" w:rsidRPr="006F7A3D" w:rsidRDefault="00E52071" w:rsidP="00A12957">
            <w:r w:rsidRPr="006F7A3D">
              <w:t>Число эритроцитов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646D0" w14:textId="77777777" w:rsidR="00E52071" w:rsidRPr="006F7A3D" w:rsidRDefault="00E52071" w:rsidP="00A12957">
            <w:r w:rsidRPr="006F7A3D">
              <w:t>&gt;3,5•10</w:t>
            </w:r>
            <w:r w:rsidRPr="006F7A3D">
              <w:rPr>
                <w:vertAlign w:val="superscript"/>
              </w:rPr>
              <w:t>12</w:t>
            </w:r>
            <w:r w:rsidRPr="006F7A3D">
              <w:t>/Л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8310" w14:textId="77777777" w:rsidR="00E52071" w:rsidRPr="006F7A3D" w:rsidRDefault="00E52071" w:rsidP="00A12957">
            <w:r w:rsidRPr="006F7A3D">
              <w:t>3,5•10</w:t>
            </w:r>
            <w:r w:rsidRPr="006F7A3D">
              <w:rPr>
                <w:vertAlign w:val="superscript"/>
              </w:rPr>
              <w:t>12</w:t>
            </w:r>
            <w:r w:rsidRPr="006F7A3D">
              <w:t>/л- 2,5•10</w:t>
            </w:r>
            <w:r w:rsidRPr="006F7A3D">
              <w:rPr>
                <w:vertAlign w:val="superscript"/>
              </w:rPr>
              <w:t>12</w:t>
            </w:r>
            <w:r w:rsidRPr="006F7A3D">
              <w:t>/л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BCD10" w14:textId="77777777" w:rsidR="00E52071" w:rsidRPr="006F7A3D" w:rsidRDefault="00E52071" w:rsidP="00A12957">
            <w:r w:rsidRPr="006F7A3D">
              <w:t>&lt;2,5•10</w:t>
            </w:r>
            <w:r w:rsidRPr="006F7A3D">
              <w:rPr>
                <w:vertAlign w:val="superscript"/>
              </w:rPr>
              <w:t>12</w:t>
            </w:r>
            <w:r w:rsidRPr="006F7A3D">
              <w:t>/л</w:t>
            </w:r>
          </w:p>
        </w:tc>
      </w:tr>
      <w:tr w:rsidR="00E52071" w:rsidRPr="006F7A3D" w14:paraId="7D89D227" w14:textId="77777777" w:rsidTr="00A12957">
        <w:trPr>
          <w:trHeight w:val="42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D6EFF" w14:textId="77777777" w:rsidR="00E52071" w:rsidRPr="006F7A3D" w:rsidRDefault="00E52071" w:rsidP="00A12957">
            <w:r w:rsidRPr="006F7A3D">
              <w:t>Уровень гемоглобина, г/л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7CAFC" w14:textId="77777777" w:rsidR="00E52071" w:rsidRPr="006F7A3D" w:rsidRDefault="00E52071" w:rsidP="00A12957">
            <w:r w:rsidRPr="006F7A3D">
              <w:t>&gt;100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2EEAF" w14:textId="77777777" w:rsidR="00E52071" w:rsidRPr="006F7A3D" w:rsidRDefault="00E52071" w:rsidP="00A12957">
            <w:r w:rsidRPr="006F7A3D">
              <w:t>83—100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B55DD" w14:textId="77777777" w:rsidR="00E52071" w:rsidRPr="006F7A3D" w:rsidRDefault="00E52071" w:rsidP="00A12957">
            <w:r w:rsidRPr="006F7A3D">
              <w:t>&lt;83</w:t>
            </w:r>
          </w:p>
        </w:tc>
      </w:tr>
      <w:tr w:rsidR="00E52071" w:rsidRPr="006F7A3D" w14:paraId="766AC4C6" w14:textId="77777777" w:rsidTr="00A12957">
        <w:trPr>
          <w:trHeight w:val="43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029D4" w14:textId="77777777" w:rsidR="00E52071" w:rsidRPr="006F7A3D" w:rsidRDefault="00E52071" w:rsidP="00A12957">
            <w:r w:rsidRPr="006F7A3D">
              <w:t>Частота пульса в 1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16B6E" w14:textId="77777777" w:rsidR="00E52071" w:rsidRPr="006F7A3D" w:rsidRDefault="00E52071" w:rsidP="00A12957">
            <w:r w:rsidRPr="006F7A3D">
              <w:t>До 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32464" w14:textId="77777777" w:rsidR="00E52071" w:rsidRPr="006F7A3D" w:rsidRDefault="00E52071" w:rsidP="00A12957">
            <w:r w:rsidRPr="006F7A3D">
              <w:t>80—100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7EA78" w14:textId="77777777" w:rsidR="00E52071" w:rsidRPr="006F7A3D" w:rsidRDefault="00E52071" w:rsidP="00A12957">
            <w:r w:rsidRPr="006F7A3D">
              <w:t>Выше 100</w:t>
            </w:r>
          </w:p>
        </w:tc>
      </w:tr>
      <w:tr w:rsidR="00E52071" w:rsidRPr="006F7A3D" w14:paraId="17089129" w14:textId="77777777" w:rsidTr="00A12957">
        <w:trPr>
          <w:trHeight w:val="43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BCF32" w14:textId="77777777" w:rsidR="00E52071" w:rsidRPr="006F7A3D" w:rsidRDefault="00E52071" w:rsidP="00A12957">
            <w:r w:rsidRPr="006F7A3D">
              <w:t>Систолическое АД (мм рт. ст.)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8A753" w14:textId="77777777" w:rsidR="00E52071" w:rsidRPr="006F7A3D" w:rsidRDefault="00E52071" w:rsidP="00A12957">
            <w:r w:rsidRPr="006F7A3D">
              <w:t>&gt;110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8063A" w14:textId="77777777" w:rsidR="00E52071" w:rsidRPr="006F7A3D" w:rsidRDefault="00E52071" w:rsidP="00A12957">
            <w:r w:rsidRPr="006F7A3D">
              <w:t>110—90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3A833" w14:textId="77777777" w:rsidR="00E52071" w:rsidRPr="006F7A3D" w:rsidRDefault="00E52071" w:rsidP="00A12957">
            <w:r w:rsidRPr="006F7A3D">
              <w:t>&lt;90</w:t>
            </w:r>
          </w:p>
        </w:tc>
      </w:tr>
      <w:tr w:rsidR="00E52071" w:rsidRPr="006F7A3D" w14:paraId="5E5704A1" w14:textId="77777777" w:rsidTr="00A12957">
        <w:trPr>
          <w:trHeight w:val="43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58333" w14:textId="77777777" w:rsidR="00E52071" w:rsidRPr="006F7A3D" w:rsidRDefault="00E52071" w:rsidP="00A12957">
            <w:proofErr w:type="spellStart"/>
            <w:r w:rsidRPr="006F7A3D">
              <w:t>Гематокритное</w:t>
            </w:r>
            <w:proofErr w:type="spellEnd"/>
            <w:r w:rsidRPr="006F7A3D">
              <w:t xml:space="preserve"> число,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702EF" w14:textId="77777777" w:rsidR="00E52071" w:rsidRPr="006F7A3D" w:rsidRDefault="00E52071" w:rsidP="00A12957">
            <w:r w:rsidRPr="006F7A3D">
              <w:t>&gt;30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868A2" w14:textId="77777777" w:rsidR="00E52071" w:rsidRPr="006F7A3D" w:rsidRDefault="00E52071" w:rsidP="00A12957">
            <w:r w:rsidRPr="006F7A3D">
              <w:t>25</w:t>
            </w:r>
            <w:r>
              <w:t xml:space="preserve"> – </w:t>
            </w:r>
            <w:r w:rsidRPr="006F7A3D"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2F893" w14:textId="77777777" w:rsidR="00E52071" w:rsidRPr="006F7A3D" w:rsidRDefault="00E52071" w:rsidP="00A12957">
            <w:r w:rsidRPr="006F7A3D">
              <w:t>&lt;25</w:t>
            </w:r>
          </w:p>
        </w:tc>
      </w:tr>
      <w:tr w:rsidR="00E52071" w:rsidRPr="006F7A3D" w14:paraId="35C5F542" w14:textId="77777777" w:rsidTr="00A12957">
        <w:trPr>
          <w:trHeight w:val="43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97D8A" w14:textId="77777777" w:rsidR="00E52071" w:rsidRPr="006F7A3D" w:rsidRDefault="00E52071" w:rsidP="00A12957">
            <w:r w:rsidRPr="006F7A3D">
              <w:t>Дефицит ГО, % от должного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1E3EF" w14:textId="77777777" w:rsidR="00E52071" w:rsidRPr="006F7A3D" w:rsidRDefault="00E52071" w:rsidP="00A12957">
            <w:r w:rsidRPr="006F7A3D">
              <w:t>До 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228A1" w14:textId="77777777" w:rsidR="00E52071" w:rsidRPr="006F7A3D" w:rsidRDefault="00E52071" w:rsidP="00A12957">
            <w:r w:rsidRPr="006F7A3D">
              <w:t>От 20 до30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D9C67" w14:textId="77777777" w:rsidR="00E52071" w:rsidRPr="006F7A3D" w:rsidRDefault="00E52071" w:rsidP="00A12957">
            <w:r w:rsidRPr="006F7A3D">
              <w:t>30 и более</w:t>
            </w:r>
          </w:p>
        </w:tc>
      </w:tr>
    </w:tbl>
    <w:p w14:paraId="065EB6A7" w14:textId="77777777" w:rsidR="00E52071" w:rsidRPr="00B35958" w:rsidRDefault="00E52071" w:rsidP="00E52071">
      <w:pPr>
        <w:pStyle w:val="aff"/>
        <w:ind w:left="0" w:firstLine="0"/>
        <w:jc w:val="left"/>
      </w:pPr>
      <w:r>
        <w:rPr>
          <w:b/>
          <w:bCs/>
        </w:rPr>
        <w:br/>
        <w:t>Ключ (интерпретация)</w:t>
      </w:r>
      <w:r w:rsidRPr="00B35958">
        <w:rPr>
          <w:b/>
          <w:bCs/>
        </w:rPr>
        <w:t xml:space="preserve">: </w:t>
      </w:r>
      <w:r>
        <w:t>присутствует в таблице</w:t>
      </w:r>
      <w:r>
        <w:br/>
      </w:r>
      <w:r w:rsidRPr="00B35958">
        <w:rPr>
          <w:b/>
          <w:bCs/>
        </w:rPr>
        <w:t>Пояснения:</w:t>
      </w:r>
      <w:r w:rsidRPr="00B35958">
        <w:t xml:space="preserve"> </w:t>
      </w:r>
      <w:r>
        <w:t>не требуются</w:t>
      </w:r>
    </w:p>
    <w:p w14:paraId="7A91D7B1" w14:textId="77777777" w:rsidR="00E52071" w:rsidRPr="00474A5E" w:rsidRDefault="00E52071" w:rsidP="00E52071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br w:type="page"/>
      </w:r>
      <w:bookmarkStart w:id="113" w:name="_bookmark18"/>
      <w:bookmarkStart w:id="114" w:name="_Toc146491650"/>
      <w:bookmarkStart w:id="115" w:name="_Toc146739040"/>
      <w:bookmarkStart w:id="116" w:name="_Toc172838906"/>
      <w:bookmarkStart w:id="117" w:name="_Toc172841356"/>
      <w:bookmarkStart w:id="118" w:name="_Toc172841605"/>
      <w:bookmarkEnd w:id="113"/>
      <w:r w:rsidRPr="00474A5E">
        <w:rPr>
          <w:rFonts w:ascii="Times New Roman" w:hAnsi="Times New Roman" w:cs="Times New Roman"/>
          <w:b/>
          <w:color w:val="000000" w:themeColor="text1"/>
        </w:rPr>
        <w:lastRenderedPageBreak/>
        <w:t xml:space="preserve">Приложение Г2. </w:t>
      </w:r>
    </w:p>
    <w:p w14:paraId="480C95E4" w14:textId="77777777" w:rsidR="00E52071" w:rsidRPr="00DD743F" w:rsidRDefault="00E52071" w:rsidP="00E52071">
      <w:pPr>
        <w:pStyle w:val="2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52071">
        <w:rPr>
          <w:rFonts w:ascii="Times New Roman" w:hAnsi="Times New Roman" w:cs="Times New Roman"/>
          <w:color w:val="000000" w:themeColor="text1"/>
        </w:rPr>
        <w:t>Шкала</w:t>
      </w:r>
      <w:r w:rsidRPr="00DD743F">
        <w:rPr>
          <w:rFonts w:ascii="Times New Roman" w:hAnsi="Times New Roman" w:cs="Times New Roman"/>
          <w:color w:val="000000" w:themeColor="text1"/>
        </w:rPr>
        <w:t xml:space="preserve"> </w:t>
      </w:r>
      <w:r w:rsidRPr="00E52071">
        <w:rPr>
          <w:rFonts w:ascii="Times New Roman" w:hAnsi="Times New Roman" w:cs="Times New Roman"/>
          <w:color w:val="000000" w:themeColor="text1"/>
        </w:rPr>
        <w:t>тяжести</w:t>
      </w:r>
      <w:r w:rsidRPr="00DD743F">
        <w:rPr>
          <w:rFonts w:ascii="Times New Roman" w:hAnsi="Times New Roman" w:cs="Times New Roman"/>
          <w:color w:val="000000" w:themeColor="text1"/>
        </w:rPr>
        <w:t xml:space="preserve"> </w:t>
      </w:r>
      <w:r w:rsidRPr="00E52071">
        <w:rPr>
          <w:rFonts w:ascii="Times New Roman" w:hAnsi="Times New Roman" w:cs="Times New Roman"/>
          <w:color w:val="000000" w:themeColor="text1"/>
        </w:rPr>
        <w:t>кровопотери</w:t>
      </w:r>
      <w:r w:rsidRPr="00DD743F">
        <w:rPr>
          <w:rFonts w:ascii="Times New Roman" w:hAnsi="Times New Roman" w:cs="Times New Roman"/>
          <w:color w:val="000000" w:themeColor="text1"/>
        </w:rPr>
        <w:t xml:space="preserve"> </w:t>
      </w:r>
      <w:r w:rsidRPr="00E52071">
        <w:rPr>
          <w:rFonts w:ascii="Times New Roman" w:hAnsi="Times New Roman" w:cs="Times New Roman"/>
          <w:color w:val="000000" w:themeColor="text1"/>
          <w:lang w:val="en-US"/>
        </w:rPr>
        <w:t>ACS</w:t>
      </w:r>
      <w:r w:rsidRPr="00DD743F">
        <w:rPr>
          <w:rFonts w:ascii="Times New Roman" w:hAnsi="Times New Roman" w:cs="Times New Roman"/>
          <w:color w:val="000000" w:themeColor="text1"/>
        </w:rPr>
        <w:t xml:space="preserve"> </w:t>
      </w:r>
      <w:r w:rsidRPr="00DD743F">
        <w:rPr>
          <w:rFonts w:ascii="Times New Roman" w:hAnsi="Times New Roman" w:cs="Times New Roman"/>
          <w:color w:val="000000" w:themeColor="text1"/>
        </w:rPr>
        <w:br/>
      </w:r>
      <w:r w:rsidRPr="00DD743F">
        <w:rPr>
          <w:rFonts w:ascii="Times New Roman" w:hAnsi="Times New Roman" w:cs="Times New Roman"/>
          <w:color w:val="000000" w:themeColor="text1"/>
        </w:rPr>
        <w:br/>
      </w:r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Оригинальное</w:t>
      </w:r>
      <w:r w:rsidRPr="00DD7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>название</w:t>
      </w:r>
      <w:r w:rsidRPr="00DD7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American</w:t>
      </w:r>
      <w:r w:rsidRPr="00DD7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College</w:t>
      </w:r>
      <w:r w:rsidRPr="00DD7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Of</w:t>
      </w:r>
      <w:r w:rsidRPr="00DD7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Surgeons</w:t>
      </w:r>
      <w:bookmarkEnd w:id="114"/>
      <w:bookmarkEnd w:id="115"/>
      <w:bookmarkEnd w:id="116"/>
      <w:bookmarkEnd w:id="117"/>
      <w:bookmarkEnd w:id="118"/>
      <w:r w:rsidRPr="00DD7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Bleeding</w:t>
      </w:r>
      <w:r w:rsidRPr="00DD7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Score</w:t>
      </w:r>
    </w:p>
    <w:p w14:paraId="25DF1795" w14:textId="77777777" w:rsidR="00E52071" w:rsidRPr="00E52071" w:rsidRDefault="00E52071" w:rsidP="00E52071">
      <w:pPr>
        <w:spacing w:line="360" w:lineRule="auto"/>
        <w:rPr>
          <w:color w:val="000000" w:themeColor="text1"/>
          <w:lang w:val="en-US"/>
        </w:rPr>
      </w:pPr>
      <w:r w:rsidRPr="00E52071">
        <w:rPr>
          <w:b/>
          <w:bCs/>
          <w:color w:val="000000" w:themeColor="text1"/>
        </w:rPr>
        <w:t>Источник</w:t>
      </w:r>
      <w:r w:rsidRPr="00E52071">
        <w:rPr>
          <w:b/>
          <w:bCs/>
          <w:color w:val="000000" w:themeColor="text1"/>
          <w:lang w:val="en-US"/>
        </w:rPr>
        <w:t>:</w:t>
      </w:r>
      <w:r w:rsidRPr="00E52071">
        <w:rPr>
          <w:color w:val="000000" w:themeColor="text1"/>
          <w:lang w:val="en-US"/>
        </w:rPr>
        <w:t xml:space="preserve"> American College of Surgeons Committee on Trauma / ATLS® Student Manual </w:t>
      </w:r>
    </w:p>
    <w:p w14:paraId="7A987B1A" w14:textId="77777777" w:rsidR="00E52071" w:rsidRPr="00E52071" w:rsidRDefault="00E52071" w:rsidP="00E52071">
      <w:pPr>
        <w:spacing w:line="360" w:lineRule="auto"/>
        <w:rPr>
          <w:color w:val="000000" w:themeColor="text1"/>
          <w:lang w:val="en-US"/>
        </w:rPr>
      </w:pPr>
      <w:r w:rsidRPr="00E52071">
        <w:rPr>
          <w:color w:val="000000" w:themeColor="text1"/>
          <w:lang w:val="en-US"/>
        </w:rPr>
        <w:t xml:space="preserve">10th Edition. Chicago: American College of Surgeons; 2018 </w:t>
      </w:r>
    </w:p>
    <w:p w14:paraId="46B79BB1" w14:textId="77777777" w:rsidR="00E52071" w:rsidRPr="00B35958" w:rsidRDefault="00E52071" w:rsidP="00E52071">
      <w:pPr>
        <w:pStyle w:val="aff"/>
        <w:ind w:left="0" w:firstLine="0"/>
        <w:rPr>
          <w:b/>
          <w:bCs/>
        </w:rPr>
      </w:pPr>
      <w:r w:rsidRPr="00B35958">
        <w:rPr>
          <w:b/>
          <w:bCs/>
        </w:rPr>
        <w:t>Тип (подчеркнуть):</w:t>
      </w:r>
    </w:p>
    <w:p w14:paraId="0CDCA9E6" w14:textId="77777777" w:rsidR="00E52071" w:rsidRPr="00B35958" w:rsidRDefault="00E52071" w:rsidP="00E52071">
      <w:pPr>
        <w:pStyle w:val="aff"/>
      </w:pPr>
      <w:r w:rsidRPr="00B35958">
        <w:rPr>
          <w:b/>
          <w:bCs/>
        </w:rPr>
        <w:t xml:space="preserve">    </w:t>
      </w:r>
      <w:r w:rsidRPr="00B35958">
        <w:t xml:space="preserve">- </w:t>
      </w:r>
      <w:r w:rsidRPr="00B35958">
        <w:rPr>
          <w:u w:val="single"/>
        </w:rPr>
        <w:t>шкала оценки</w:t>
      </w:r>
    </w:p>
    <w:p w14:paraId="086E92CE" w14:textId="77777777" w:rsidR="00E52071" w:rsidRPr="00B35958" w:rsidRDefault="00E52071" w:rsidP="00E52071">
      <w:pPr>
        <w:pStyle w:val="aff"/>
      </w:pPr>
      <w:r w:rsidRPr="00B35958">
        <w:t xml:space="preserve">    - индекс</w:t>
      </w:r>
    </w:p>
    <w:p w14:paraId="1502AFCC" w14:textId="77777777" w:rsidR="00E52071" w:rsidRPr="00B35958" w:rsidRDefault="00E52071" w:rsidP="00E52071">
      <w:pPr>
        <w:pStyle w:val="aff"/>
      </w:pPr>
      <w:r w:rsidRPr="00B35958">
        <w:t xml:space="preserve">    - вопросник</w:t>
      </w:r>
    </w:p>
    <w:p w14:paraId="231ED91D" w14:textId="77777777" w:rsidR="00E52071" w:rsidRPr="00B35958" w:rsidRDefault="00E52071" w:rsidP="00E52071">
      <w:pPr>
        <w:pStyle w:val="aff"/>
        <w:rPr>
          <w:b/>
          <w:bCs/>
        </w:rPr>
      </w:pPr>
      <w:r w:rsidRPr="00B35958">
        <w:rPr>
          <w:b/>
          <w:bCs/>
        </w:rPr>
        <w:t xml:space="preserve">    </w:t>
      </w:r>
      <w:r w:rsidRPr="00B35958">
        <w:t>- другое (уточнить):</w:t>
      </w:r>
      <w:r w:rsidRPr="00B35958">
        <w:rPr>
          <w:b/>
          <w:bCs/>
        </w:rPr>
        <w:t xml:space="preserve"> </w:t>
      </w:r>
    </w:p>
    <w:p w14:paraId="717BE342" w14:textId="77777777" w:rsidR="00E52071" w:rsidRPr="006F7A3D" w:rsidRDefault="00E52071" w:rsidP="00E52071">
      <w:pPr>
        <w:spacing w:line="360" w:lineRule="auto"/>
      </w:pPr>
      <w:r w:rsidRPr="006F7A3D">
        <w:rPr>
          <w:b/>
          <w:bCs/>
        </w:rPr>
        <w:t>Назначение:</w:t>
      </w:r>
      <w:r w:rsidRPr="006F7A3D">
        <w:t xml:space="preserve"> определение степени тяжести кровопотери </w:t>
      </w:r>
    </w:p>
    <w:p w14:paraId="38CA3DE2" w14:textId="77777777" w:rsidR="00E52071" w:rsidRPr="00FC5376" w:rsidRDefault="00E52071" w:rsidP="00E52071">
      <w:pPr>
        <w:pStyle w:val="aff"/>
        <w:spacing w:line="360" w:lineRule="auto"/>
        <w:ind w:left="0" w:firstLine="0"/>
        <w:rPr>
          <w:b/>
          <w:bCs/>
        </w:rPr>
      </w:pPr>
      <w:r>
        <w:rPr>
          <w:b/>
          <w:bCs/>
        </w:rPr>
        <w:t>Содержание</w:t>
      </w:r>
      <w:r w:rsidRPr="00FC5376">
        <w:rPr>
          <w:b/>
          <w:bCs/>
        </w:rPr>
        <w:t xml:space="preserve">: </w:t>
      </w:r>
    </w:p>
    <w:tbl>
      <w:tblPr>
        <w:tblW w:w="9540" w:type="dxa"/>
        <w:tblInd w:w="-3" w:type="dxa"/>
        <w:tblCellMar>
          <w:top w:w="105" w:type="dxa"/>
          <w:left w:w="139" w:type="dxa"/>
          <w:right w:w="86" w:type="dxa"/>
        </w:tblCellMar>
        <w:tblLook w:val="04A0" w:firstRow="1" w:lastRow="0" w:firstColumn="1" w:lastColumn="0" w:noHBand="0" w:noVBand="1"/>
      </w:tblPr>
      <w:tblGrid>
        <w:gridCol w:w="2620"/>
        <w:gridCol w:w="1624"/>
        <w:gridCol w:w="1827"/>
        <w:gridCol w:w="1827"/>
        <w:gridCol w:w="1642"/>
      </w:tblGrid>
      <w:tr w:rsidR="00E52071" w:rsidRPr="006F7A3D" w14:paraId="62126960" w14:textId="77777777" w:rsidTr="00A12957">
        <w:trPr>
          <w:trHeight w:val="129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D7F3" w14:textId="77777777" w:rsidR="00E52071" w:rsidRPr="006F7A3D" w:rsidRDefault="00E52071" w:rsidP="00A12957">
            <w:r w:rsidRPr="006F7A3D">
              <w:t>Параметр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5EBE" w14:textId="77777777" w:rsidR="00E52071" w:rsidRPr="006F7A3D" w:rsidRDefault="00E52071" w:rsidP="00A12957">
            <w:r w:rsidRPr="006F7A3D">
              <w:t>Класс 1</w:t>
            </w:r>
          </w:p>
          <w:p w14:paraId="4EB87437" w14:textId="77777777" w:rsidR="00E52071" w:rsidRPr="006F7A3D" w:rsidRDefault="00E52071" w:rsidP="00A12957">
            <w:r w:rsidRPr="006F7A3D">
              <w:t>Лёгкая кровопотеря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4FFA" w14:textId="77777777" w:rsidR="00E52071" w:rsidRPr="006F7A3D" w:rsidRDefault="00E52071" w:rsidP="00A12957">
            <w:r w:rsidRPr="006F7A3D">
              <w:t>Класс 2</w:t>
            </w:r>
          </w:p>
          <w:p w14:paraId="1EBBF62D" w14:textId="77777777" w:rsidR="00E52071" w:rsidRPr="006F7A3D" w:rsidRDefault="00E52071" w:rsidP="00A12957">
            <w:r w:rsidRPr="006F7A3D">
              <w:t>Умеренная кровопотеря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D359" w14:textId="77777777" w:rsidR="00E52071" w:rsidRPr="006F7A3D" w:rsidRDefault="00E52071" w:rsidP="00A12957">
            <w:r w:rsidRPr="006F7A3D">
              <w:t>Класс 3</w:t>
            </w:r>
          </w:p>
          <w:p w14:paraId="44BBBD3F" w14:textId="77777777" w:rsidR="00E52071" w:rsidRPr="006F7A3D" w:rsidRDefault="00E52071" w:rsidP="00A12957">
            <w:r w:rsidRPr="006F7A3D">
              <w:t>Средней тяжести кровопотеря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F166" w14:textId="77777777" w:rsidR="00E52071" w:rsidRPr="006F7A3D" w:rsidRDefault="00E52071" w:rsidP="00A12957">
            <w:r w:rsidRPr="006F7A3D">
              <w:t>Класс 4</w:t>
            </w:r>
          </w:p>
          <w:p w14:paraId="55D4DC40" w14:textId="77777777" w:rsidR="00E52071" w:rsidRPr="006F7A3D" w:rsidRDefault="00E52071" w:rsidP="00A12957">
            <w:r w:rsidRPr="006F7A3D">
              <w:t>Тяжёлая кровопотеря</w:t>
            </w:r>
          </w:p>
        </w:tc>
      </w:tr>
      <w:tr w:rsidR="00E52071" w:rsidRPr="006F7A3D" w14:paraId="1E39C05B" w14:textId="77777777" w:rsidTr="00A12957">
        <w:trPr>
          <w:trHeight w:val="766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77D1" w14:textId="77777777" w:rsidR="00E52071" w:rsidRPr="006F7A3D" w:rsidRDefault="00E52071" w:rsidP="00A12957">
            <w:r w:rsidRPr="006F7A3D">
              <w:t>Примерная кровопотеря (% от ОЦК), мл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7500" w14:textId="77777777" w:rsidR="00E52071" w:rsidRPr="006F7A3D" w:rsidRDefault="00E52071" w:rsidP="00A12957">
            <w:r w:rsidRPr="006F7A3D">
              <w:t>до 15%,</w:t>
            </w:r>
          </w:p>
          <w:p w14:paraId="041B6662" w14:textId="77777777" w:rsidR="00E52071" w:rsidRPr="006F7A3D" w:rsidRDefault="00E52071" w:rsidP="00A12957">
            <w:r w:rsidRPr="006F7A3D">
              <w:t>до 750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67F0" w14:textId="77777777" w:rsidR="00E52071" w:rsidRPr="006F7A3D" w:rsidRDefault="00E52071" w:rsidP="00A12957">
            <w:r w:rsidRPr="006F7A3D">
              <w:t>15–30%,</w:t>
            </w:r>
          </w:p>
          <w:p w14:paraId="11272DB8" w14:textId="77777777" w:rsidR="00E52071" w:rsidRPr="006F7A3D" w:rsidRDefault="00E52071" w:rsidP="00A12957">
            <w:r w:rsidRPr="006F7A3D">
              <w:t>750-1000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A2EB" w14:textId="77777777" w:rsidR="00E52071" w:rsidRPr="006F7A3D" w:rsidRDefault="00E52071" w:rsidP="00A12957">
            <w:r w:rsidRPr="006F7A3D">
              <w:t>30–40%,</w:t>
            </w:r>
          </w:p>
          <w:p w14:paraId="6AA3D840" w14:textId="77777777" w:rsidR="00E52071" w:rsidRPr="006F7A3D" w:rsidRDefault="00E52071" w:rsidP="00A12957">
            <w:r w:rsidRPr="006F7A3D">
              <w:t>1500–2000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0903" w14:textId="77777777" w:rsidR="00E52071" w:rsidRPr="006F7A3D" w:rsidRDefault="00E52071" w:rsidP="00A12957">
            <w:r w:rsidRPr="006F7A3D">
              <w:t>&gt; 40%,</w:t>
            </w:r>
          </w:p>
          <w:p w14:paraId="24E271F0" w14:textId="77777777" w:rsidR="00E52071" w:rsidRPr="006F7A3D" w:rsidRDefault="00E52071" w:rsidP="00A12957">
            <w:r w:rsidRPr="006F7A3D">
              <w:t>Более 2000</w:t>
            </w:r>
          </w:p>
        </w:tc>
      </w:tr>
      <w:tr w:rsidR="00E52071" w:rsidRPr="006F7A3D" w14:paraId="2D6929C4" w14:textId="77777777" w:rsidTr="00A12957">
        <w:trPr>
          <w:trHeight w:val="480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376E" w14:textId="77777777" w:rsidR="00E52071" w:rsidRPr="006F7A3D" w:rsidRDefault="00E52071" w:rsidP="00A12957">
            <w:r w:rsidRPr="006F7A3D">
              <w:t>ЧСС (уд/мин)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3EAA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F971" w14:textId="77777777" w:rsidR="00E52071" w:rsidRPr="006F7A3D" w:rsidRDefault="00E52071" w:rsidP="00A12957">
            <w:r w:rsidRPr="006F7A3D">
              <w:t>N/ ↑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3D4A" w14:textId="77777777" w:rsidR="00E52071" w:rsidRPr="006F7A3D" w:rsidRDefault="00E52071" w:rsidP="00A12957">
            <w:r w:rsidRPr="006F7A3D">
              <w:t>↑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E268A" w14:textId="77777777" w:rsidR="00E52071" w:rsidRPr="006F7A3D" w:rsidRDefault="00E52071" w:rsidP="00A12957">
            <w:r w:rsidRPr="006F7A3D">
              <w:t>↑/↑↑</w:t>
            </w:r>
          </w:p>
        </w:tc>
      </w:tr>
      <w:tr w:rsidR="00E52071" w:rsidRPr="006F7A3D" w14:paraId="1D83C24E" w14:textId="77777777" w:rsidTr="00A12957">
        <w:trPr>
          <w:trHeight w:val="456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0F6F" w14:textId="77777777" w:rsidR="00E52071" w:rsidRPr="006F7A3D" w:rsidRDefault="00E52071" w:rsidP="00A12957">
            <w:proofErr w:type="spellStart"/>
            <w:r w:rsidRPr="006F7A3D">
              <w:t>Артер</w:t>
            </w:r>
            <w:proofErr w:type="spellEnd"/>
            <w:r w:rsidRPr="006F7A3D">
              <w:t>. Давление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D6E4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99D4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5246" w14:textId="77777777" w:rsidR="00E52071" w:rsidRPr="006F7A3D" w:rsidRDefault="00E52071" w:rsidP="00A12957">
            <w:r w:rsidRPr="006F7A3D">
              <w:t>N /↓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335CD" w14:textId="77777777" w:rsidR="00E52071" w:rsidRPr="006F7A3D" w:rsidRDefault="00E52071" w:rsidP="00A12957">
            <w:r w:rsidRPr="006F7A3D">
              <w:t>↓↓</w:t>
            </w:r>
          </w:p>
        </w:tc>
      </w:tr>
      <w:tr w:rsidR="00E52071" w:rsidRPr="006F7A3D" w14:paraId="0E8D4813" w14:textId="77777777" w:rsidTr="00A12957">
        <w:trPr>
          <w:trHeight w:val="482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F317" w14:textId="77777777" w:rsidR="00E52071" w:rsidRPr="006F7A3D" w:rsidRDefault="00E52071" w:rsidP="00A12957">
            <w:r w:rsidRPr="006F7A3D">
              <w:t>Пульсовое давление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A181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BE22" w14:textId="77777777" w:rsidR="00E52071" w:rsidRPr="006F7A3D" w:rsidRDefault="00E52071" w:rsidP="00A12957">
            <w:r w:rsidRPr="006F7A3D">
              <w:t>↓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0A3F" w14:textId="77777777" w:rsidR="00E52071" w:rsidRPr="006F7A3D" w:rsidRDefault="00E52071" w:rsidP="00A12957">
            <w:r w:rsidRPr="006F7A3D">
              <w:t>↓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8024E" w14:textId="77777777" w:rsidR="00E52071" w:rsidRPr="006F7A3D" w:rsidRDefault="00E52071" w:rsidP="00A12957">
            <w:r w:rsidRPr="006F7A3D">
              <w:t>↓</w:t>
            </w:r>
          </w:p>
        </w:tc>
      </w:tr>
      <w:tr w:rsidR="00E52071" w:rsidRPr="006F7A3D" w14:paraId="269E288B" w14:textId="77777777" w:rsidTr="00A12957">
        <w:trPr>
          <w:trHeight w:val="1008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BD4B" w14:textId="77777777" w:rsidR="00E52071" w:rsidRPr="006F7A3D" w:rsidRDefault="00E52071" w:rsidP="00A12957">
            <w:r w:rsidRPr="006F7A3D">
              <w:t>Время капиллярного заполнения («симптом пятна»)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CF85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0305" w14:textId="77777777" w:rsidR="00E52071" w:rsidRPr="006F7A3D" w:rsidRDefault="00E52071" w:rsidP="00A12957">
            <w:r w:rsidRPr="006F7A3D">
              <w:t>↑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D1A1" w14:textId="77777777" w:rsidR="00E52071" w:rsidRPr="006F7A3D" w:rsidRDefault="00E52071" w:rsidP="00A12957">
            <w:r w:rsidRPr="006F7A3D">
              <w:t>↑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0B5E1" w14:textId="77777777" w:rsidR="00E52071" w:rsidRPr="006F7A3D" w:rsidRDefault="00E52071" w:rsidP="00A12957">
            <w:r w:rsidRPr="006F7A3D">
              <w:t>↑↑</w:t>
            </w:r>
          </w:p>
        </w:tc>
      </w:tr>
      <w:tr w:rsidR="00E52071" w:rsidRPr="006F7A3D" w14:paraId="32CC420D" w14:textId="77777777" w:rsidTr="00A12957">
        <w:trPr>
          <w:trHeight w:val="541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31FE" w14:textId="77777777" w:rsidR="00E52071" w:rsidRPr="006F7A3D" w:rsidRDefault="00E52071" w:rsidP="00A12957">
            <w:r w:rsidRPr="006F7A3D">
              <w:t>Частота дыхания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9A6A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B6BE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4F85" w14:textId="77777777" w:rsidR="00E52071" w:rsidRPr="006F7A3D" w:rsidRDefault="00E52071" w:rsidP="00A12957">
            <w:r w:rsidRPr="006F7A3D">
              <w:t>N/↑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27981" w14:textId="77777777" w:rsidR="00E52071" w:rsidRPr="006F7A3D" w:rsidRDefault="00E52071" w:rsidP="00A12957">
            <w:r w:rsidRPr="006F7A3D">
              <w:t>↑</w:t>
            </w:r>
          </w:p>
        </w:tc>
      </w:tr>
      <w:tr w:rsidR="00E52071" w:rsidRPr="006F7A3D" w14:paraId="331CC361" w14:textId="77777777" w:rsidTr="00A12957">
        <w:trPr>
          <w:trHeight w:val="480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ADAF" w14:textId="77777777" w:rsidR="00E52071" w:rsidRPr="006F7A3D" w:rsidRDefault="00E52071" w:rsidP="00A12957">
            <w:r w:rsidRPr="006F7A3D">
              <w:t>Диурез (мл/час)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FEED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703C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9918" w14:textId="77777777" w:rsidR="00E52071" w:rsidRPr="006F7A3D" w:rsidRDefault="00E52071" w:rsidP="00A12957">
            <w:r w:rsidRPr="006F7A3D">
              <w:t>↓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10BC1" w14:textId="77777777" w:rsidR="00E52071" w:rsidRPr="006F7A3D" w:rsidRDefault="00E52071" w:rsidP="00A12957">
            <w:r w:rsidRPr="006F7A3D">
              <w:t>↓↓</w:t>
            </w:r>
          </w:p>
        </w:tc>
      </w:tr>
      <w:tr w:rsidR="00E52071" w:rsidRPr="006F7A3D" w14:paraId="33B8C0D5" w14:textId="77777777" w:rsidTr="00A12957">
        <w:trPr>
          <w:trHeight w:val="456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3907" w14:textId="77777777" w:rsidR="00E52071" w:rsidRPr="006F7A3D" w:rsidRDefault="00E52071" w:rsidP="00A12957">
            <w:r w:rsidRPr="006F7A3D">
              <w:t>Шкала комы Глазго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A4BF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201B" w14:textId="77777777" w:rsidR="00E52071" w:rsidRPr="006F7A3D" w:rsidRDefault="00E52071" w:rsidP="00A12957">
            <w:r w:rsidRPr="006F7A3D">
              <w:t>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9B27" w14:textId="77777777" w:rsidR="00E52071" w:rsidRPr="006F7A3D" w:rsidRDefault="00E52071" w:rsidP="00A12957">
            <w:r w:rsidRPr="006F7A3D">
              <w:t>↓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5FDDC" w14:textId="77777777" w:rsidR="00E52071" w:rsidRPr="006F7A3D" w:rsidRDefault="00E52071" w:rsidP="00A12957">
            <w:r w:rsidRPr="006F7A3D">
              <w:t>↓</w:t>
            </w:r>
          </w:p>
        </w:tc>
      </w:tr>
      <w:tr w:rsidR="00E52071" w:rsidRPr="006F7A3D" w14:paraId="2D7B81CD" w14:textId="77777777" w:rsidTr="00A12957">
        <w:trPr>
          <w:trHeight w:val="732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7209" w14:textId="77777777" w:rsidR="00E52071" w:rsidRPr="00FC5376" w:rsidRDefault="00E52071" w:rsidP="00A12957">
            <w:pPr>
              <w:rPr>
                <w:lang w:val="en-US"/>
              </w:rPr>
            </w:pPr>
            <w:r w:rsidRPr="00FC5376">
              <w:rPr>
                <w:lang w:val="en-US"/>
              </w:rPr>
              <w:t>BE (base deficit) mmol/l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A81F" w14:textId="77777777" w:rsidR="00E52071" w:rsidRPr="006F7A3D" w:rsidRDefault="00E52071" w:rsidP="00A12957">
            <w:r w:rsidRPr="006F7A3D">
              <w:t>0 -2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99D5" w14:textId="77777777" w:rsidR="00E52071" w:rsidRPr="006F7A3D" w:rsidRDefault="00E52071" w:rsidP="00A12957">
            <w:r w:rsidRPr="006F7A3D">
              <w:t>-2 -6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61C9" w14:textId="77777777" w:rsidR="00E52071" w:rsidRPr="006F7A3D" w:rsidRDefault="00E52071" w:rsidP="00A12957">
            <w:r w:rsidRPr="006F7A3D">
              <w:t>-6 -10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D3AF4" w14:textId="77777777" w:rsidR="00E52071" w:rsidRPr="006F7A3D" w:rsidRDefault="00E52071" w:rsidP="00A12957">
            <w:r w:rsidRPr="006F7A3D">
              <w:t>Менее -10</w:t>
            </w:r>
          </w:p>
        </w:tc>
      </w:tr>
      <w:tr w:rsidR="00E52071" w:rsidRPr="006F7A3D" w14:paraId="44B42AF7" w14:textId="77777777" w:rsidTr="00A12957">
        <w:trPr>
          <w:trHeight w:val="1013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632C" w14:textId="77777777" w:rsidR="00E52071" w:rsidRPr="006F7A3D" w:rsidRDefault="00E52071" w:rsidP="00A12957">
            <w:r w:rsidRPr="006F7A3D">
              <w:lastRenderedPageBreak/>
              <w:t>Потребность в компонентах крови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76B0" w14:textId="77777777" w:rsidR="00E52071" w:rsidRPr="006F7A3D" w:rsidRDefault="00E52071" w:rsidP="00A12957">
            <w:r w:rsidRPr="006F7A3D">
              <w:t>наблюдение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0065" w14:textId="77777777" w:rsidR="00E52071" w:rsidRPr="006F7A3D" w:rsidRDefault="00E52071" w:rsidP="00A12957">
            <w:r w:rsidRPr="006F7A3D">
              <w:t>возможно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2751" w14:textId="77777777" w:rsidR="00E52071" w:rsidRPr="006F7A3D" w:rsidRDefault="00E52071" w:rsidP="00A12957">
            <w:r w:rsidRPr="006F7A3D">
              <w:t>необходимо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F1563" w14:textId="77777777" w:rsidR="00E52071" w:rsidRPr="006F7A3D" w:rsidRDefault="00E52071" w:rsidP="00A12957">
            <w:r w:rsidRPr="006F7A3D">
              <w:t>протокол массивной кровопотери</w:t>
            </w:r>
          </w:p>
        </w:tc>
      </w:tr>
    </w:tbl>
    <w:p w14:paraId="4EE121D1" w14:textId="77777777" w:rsidR="00E52071" w:rsidRPr="00DD743F" w:rsidRDefault="00E52071" w:rsidP="00E52071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9" w:name="_bookmark19"/>
      <w:bookmarkStart w:id="120" w:name="_Toc146491651"/>
      <w:bookmarkStart w:id="121" w:name="_Toc146739041"/>
      <w:bookmarkStart w:id="122" w:name="_Toc172838907"/>
      <w:bookmarkStart w:id="123" w:name="_Toc172841357"/>
      <w:bookmarkStart w:id="124" w:name="_Toc172841606"/>
      <w:bookmarkEnd w:id="119"/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>Ключ (интерпретация):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присутствует в таблице</w:t>
      </w:r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Пояснения: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 требуются</w:t>
      </w:r>
    </w:p>
    <w:p w14:paraId="2DDB31D5" w14:textId="77777777" w:rsidR="00E52071" w:rsidRPr="00E52071" w:rsidRDefault="00E52071" w:rsidP="00E52071">
      <w:pPr>
        <w:pStyle w:val="2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52071">
        <w:rPr>
          <w:rFonts w:ascii="Times New Roman" w:hAnsi="Times New Roman" w:cs="Times New Roman"/>
          <w:color w:val="000000" w:themeColor="text1"/>
        </w:rPr>
        <w:t xml:space="preserve">Приложение Г3. </w:t>
      </w:r>
    </w:p>
    <w:p w14:paraId="4D13893A" w14:textId="77777777" w:rsidR="00E52071" w:rsidRPr="00E52071" w:rsidRDefault="00E52071" w:rsidP="00E52071">
      <w:pPr>
        <w:pStyle w:val="2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52071">
        <w:rPr>
          <w:rFonts w:ascii="Times New Roman" w:hAnsi="Times New Roman" w:cs="Times New Roman"/>
          <w:color w:val="000000" w:themeColor="text1"/>
        </w:rPr>
        <w:t>Шкала AIMS65</w:t>
      </w:r>
      <w:bookmarkEnd w:id="120"/>
      <w:bookmarkEnd w:id="121"/>
      <w:bookmarkEnd w:id="122"/>
      <w:bookmarkEnd w:id="123"/>
      <w:bookmarkEnd w:id="124"/>
      <w:r w:rsidRPr="00E52071">
        <w:rPr>
          <w:rFonts w:ascii="Times New Roman" w:hAnsi="Times New Roman" w:cs="Times New Roman"/>
          <w:color w:val="000000" w:themeColor="text1"/>
        </w:rPr>
        <w:t xml:space="preserve"> </w:t>
      </w:r>
      <w:r w:rsidRPr="00E52071">
        <w:rPr>
          <w:rFonts w:ascii="Times New Roman" w:hAnsi="Times New Roman" w:cs="Times New Roman"/>
          <w:color w:val="000000" w:themeColor="text1"/>
        </w:rPr>
        <w:br/>
      </w:r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Оригинальное название: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AIMS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65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Score</w:t>
      </w:r>
    </w:p>
    <w:p w14:paraId="01844F8A" w14:textId="77777777" w:rsidR="00E52071" w:rsidRPr="00DD743F" w:rsidRDefault="00E52071" w:rsidP="00E52071">
      <w:pPr>
        <w:spacing w:line="360" w:lineRule="auto"/>
        <w:rPr>
          <w:color w:val="000000" w:themeColor="text1"/>
          <w:lang w:val="en-US"/>
        </w:rPr>
      </w:pPr>
      <w:r w:rsidRPr="00E52071">
        <w:rPr>
          <w:b/>
          <w:color w:val="000000" w:themeColor="text1"/>
        </w:rPr>
        <w:t xml:space="preserve">Источник: </w:t>
      </w:r>
      <w:proofErr w:type="spellStart"/>
      <w:r w:rsidRPr="00E52071">
        <w:rPr>
          <w:color w:val="000000" w:themeColor="text1"/>
        </w:rPr>
        <w:t>HyettB.H</w:t>
      </w:r>
      <w:proofErr w:type="spellEnd"/>
      <w:r w:rsidRPr="00E52071">
        <w:rPr>
          <w:color w:val="000000" w:themeColor="text1"/>
        </w:rPr>
        <w:t xml:space="preserve">., </w:t>
      </w:r>
      <w:proofErr w:type="spellStart"/>
      <w:r w:rsidRPr="00E52071">
        <w:rPr>
          <w:color w:val="000000" w:themeColor="text1"/>
        </w:rPr>
        <w:t>AbougergiM.S</w:t>
      </w:r>
      <w:proofErr w:type="spellEnd"/>
      <w:r w:rsidRPr="00E52071">
        <w:rPr>
          <w:color w:val="000000" w:themeColor="text1"/>
        </w:rPr>
        <w:t xml:space="preserve">., </w:t>
      </w:r>
      <w:proofErr w:type="spellStart"/>
      <w:r w:rsidRPr="00E52071">
        <w:rPr>
          <w:color w:val="000000" w:themeColor="text1"/>
        </w:rPr>
        <w:t>CharpentierJ.P</w:t>
      </w:r>
      <w:proofErr w:type="spellEnd"/>
      <w:r w:rsidRPr="00E52071">
        <w:rPr>
          <w:color w:val="000000" w:themeColor="text1"/>
        </w:rPr>
        <w:t xml:space="preserve">., </w:t>
      </w:r>
      <w:proofErr w:type="spellStart"/>
      <w:r w:rsidRPr="00E52071">
        <w:rPr>
          <w:color w:val="000000" w:themeColor="text1"/>
        </w:rPr>
        <w:t>KumarN.L</w:t>
      </w:r>
      <w:proofErr w:type="spellEnd"/>
      <w:r w:rsidRPr="00E52071">
        <w:rPr>
          <w:color w:val="000000" w:themeColor="text1"/>
        </w:rPr>
        <w:t xml:space="preserve">., </w:t>
      </w:r>
      <w:proofErr w:type="spellStart"/>
      <w:r w:rsidRPr="00E52071">
        <w:rPr>
          <w:color w:val="000000" w:themeColor="text1"/>
        </w:rPr>
        <w:t>BrozovicS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ClaggettBL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TravisAC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SaltzmanJR</w:t>
      </w:r>
      <w:proofErr w:type="spellEnd"/>
      <w:r w:rsidRPr="00E52071">
        <w:rPr>
          <w:color w:val="000000" w:themeColor="text1"/>
        </w:rPr>
        <w:t xml:space="preserve">. </w:t>
      </w:r>
      <w:r w:rsidRPr="00E52071">
        <w:rPr>
          <w:color w:val="000000" w:themeColor="text1"/>
          <w:lang w:val="en-US"/>
        </w:rPr>
        <w:t xml:space="preserve">The AIMS65 score compared with the Glasgow-Blatchford score in predicting outcomes in upper GI bleeding. </w:t>
      </w:r>
      <w:proofErr w:type="spellStart"/>
      <w:r w:rsidRPr="00DD743F">
        <w:rPr>
          <w:color w:val="000000" w:themeColor="text1"/>
          <w:lang w:val="en-US"/>
        </w:rPr>
        <w:t>Gastrointest</w:t>
      </w:r>
      <w:proofErr w:type="spellEnd"/>
      <w:r w:rsidRPr="00DD743F">
        <w:rPr>
          <w:color w:val="000000" w:themeColor="text1"/>
          <w:lang w:val="en-US"/>
        </w:rPr>
        <w:t xml:space="preserve"> </w:t>
      </w:r>
      <w:proofErr w:type="spellStart"/>
      <w:r w:rsidRPr="00DD743F">
        <w:rPr>
          <w:color w:val="000000" w:themeColor="text1"/>
          <w:lang w:val="en-US"/>
        </w:rPr>
        <w:t>Endosc</w:t>
      </w:r>
      <w:proofErr w:type="spellEnd"/>
      <w:r w:rsidRPr="00DD743F">
        <w:rPr>
          <w:color w:val="000000" w:themeColor="text1"/>
          <w:lang w:val="en-US"/>
        </w:rPr>
        <w:t xml:space="preserve">. 2013 Apr;77(4):551-7. </w:t>
      </w:r>
      <w:proofErr w:type="spellStart"/>
      <w:r w:rsidRPr="00DD743F">
        <w:rPr>
          <w:color w:val="000000" w:themeColor="text1"/>
          <w:lang w:val="en-US"/>
        </w:rPr>
        <w:t>doi</w:t>
      </w:r>
      <w:proofErr w:type="spellEnd"/>
      <w:r w:rsidRPr="00DD743F">
        <w:rPr>
          <w:color w:val="000000" w:themeColor="text1"/>
          <w:lang w:val="en-US"/>
        </w:rPr>
        <w:t xml:space="preserve">: 10.1016/j.gie.2012.11.022. </w:t>
      </w:r>
    </w:p>
    <w:p w14:paraId="4BEC0FF6" w14:textId="77777777" w:rsidR="00E52071" w:rsidRPr="00DD743F" w:rsidRDefault="00E52071" w:rsidP="00E52071">
      <w:pPr>
        <w:pStyle w:val="aff"/>
        <w:spacing w:line="360" w:lineRule="auto"/>
        <w:ind w:left="0" w:firstLine="0"/>
        <w:rPr>
          <w:b/>
          <w:bCs/>
          <w:color w:val="000000" w:themeColor="text1"/>
          <w:lang w:val="en-US"/>
        </w:rPr>
      </w:pPr>
      <w:r w:rsidRPr="00E52071">
        <w:rPr>
          <w:b/>
          <w:bCs/>
          <w:color w:val="000000" w:themeColor="text1"/>
        </w:rPr>
        <w:t>Тип</w:t>
      </w:r>
      <w:r w:rsidRPr="00DD743F">
        <w:rPr>
          <w:b/>
          <w:bCs/>
          <w:color w:val="000000" w:themeColor="text1"/>
          <w:lang w:val="en-US"/>
        </w:rPr>
        <w:t xml:space="preserve"> (</w:t>
      </w:r>
      <w:r w:rsidRPr="00E52071">
        <w:rPr>
          <w:b/>
          <w:bCs/>
          <w:color w:val="000000" w:themeColor="text1"/>
        </w:rPr>
        <w:t>подчеркнуть</w:t>
      </w:r>
      <w:r w:rsidRPr="00DD743F">
        <w:rPr>
          <w:b/>
          <w:bCs/>
          <w:color w:val="000000" w:themeColor="text1"/>
          <w:lang w:val="en-US"/>
        </w:rPr>
        <w:t>):</w:t>
      </w:r>
    </w:p>
    <w:p w14:paraId="3A2D3E5D" w14:textId="77777777" w:rsidR="00E52071" w:rsidRPr="00DD743F" w:rsidRDefault="00E52071" w:rsidP="00E52071">
      <w:pPr>
        <w:pStyle w:val="aff"/>
        <w:rPr>
          <w:lang w:val="en-US"/>
        </w:rPr>
      </w:pPr>
      <w:r w:rsidRPr="00DD743F">
        <w:rPr>
          <w:b/>
          <w:bCs/>
          <w:lang w:val="en-US"/>
        </w:rPr>
        <w:t xml:space="preserve">    </w:t>
      </w:r>
      <w:r w:rsidRPr="00DD743F">
        <w:rPr>
          <w:lang w:val="en-US"/>
        </w:rPr>
        <w:t xml:space="preserve">- </w:t>
      </w:r>
      <w:r w:rsidRPr="00B35958">
        <w:t>шкала</w:t>
      </w:r>
      <w:r w:rsidRPr="00DD743F">
        <w:rPr>
          <w:lang w:val="en-US"/>
        </w:rPr>
        <w:t xml:space="preserve"> </w:t>
      </w:r>
      <w:r w:rsidRPr="00B35958">
        <w:t>оценки</w:t>
      </w:r>
    </w:p>
    <w:p w14:paraId="74BE4D99" w14:textId="77777777" w:rsidR="00E52071" w:rsidRPr="00DD743F" w:rsidRDefault="00E52071" w:rsidP="00E52071">
      <w:pPr>
        <w:pStyle w:val="aff"/>
        <w:rPr>
          <w:lang w:val="en-US"/>
        </w:rPr>
      </w:pPr>
      <w:r w:rsidRPr="00DD743F">
        <w:rPr>
          <w:lang w:val="en-US"/>
        </w:rPr>
        <w:t xml:space="preserve">    - </w:t>
      </w:r>
      <w:r w:rsidRPr="00B35958">
        <w:rPr>
          <w:u w:val="single"/>
        </w:rPr>
        <w:t>индекс</w:t>
      </w:r>
    </w:p>
    <w:p w14:paraId="43B3E24A" w14:textId="77777777" w:rsidR="00E52071" w:rsidRPr="005318A3" w:rsidRDefault="00E52071" w:rsidP="00E52071">
      <w:pPr>
        <w:pStyle w:val="aff"/>
      </w:pPr>
      <w:r w:rsidRPr="00DD743F">
        <w:rPr>
          <w:lang w:val="en-US"/>
        </w:rPr>
        <w:t xml:space="preserve">    </w:t>
      </w:r>
      <w:r w:rsidRPr="005318A3">
        <w:t xml:space="preserve">- </w:t>
      </w:r>
      <w:r w:rsidRPr="00B35958">
        <w:t>вопросник</w:t>
      </w:r>
    </w:p>
    <w:p w14:paraId="66FD0686" w14:textId="77777777" w:rsidR="00E52071" w:rsidRPr="00B35958" w:rsidRDefault="00E52071" w:rsidP="00E52071">
      <w:pPr>
        <w:pStyle w:val="aff"/>
        <w:spacing w:line="360" w:lineRule="auto"/>
        <w:rPr>
          <w:b/>
          <w:bCs/>
        </w:rPr>
      </w:pPr>
      <w:r w:rsidRPr="005318A3">
        <w:rPr>
          <w:b/>
          <w:bCs/>
        </w:rPr>
        <w:t xml:space="preserve">    </w:t>
      </w:r>
      <w:r w:rsidRPr="00B35958">
        <w:t>- другое (уточнить):</w:t>
      </w:r>
      <w:r w:rsidRPr="00B35958">
        <w:rPr>
          <w:b/>
          <w:bCs/>
        </w:rPr>
        <w:t xml:space="preserve"> </w:t>
      </w:r>
    </w:p>
    <w:p w14:paraId="13F03420" w14:textId="77777777" w:rsidR="00E52071" w:rsidRPr="006F7A3D" w:rsidRDefault="00E52071" w:rsidP="00E52071">
      <w:pPr>
        <w:spacing w:line="360" w:lineRule="auto"/>
      </w:pPr>
      <w:r w:rsidRPr="006F7A3D">
        <w:rPr>
          <w:b/>
        </w:rPr>
        <w:t xml:space="preserve">Назначение: </w:t>
      </w:r>
      <w:r w:rsidRPr="006F7A3D">
        <w:t>прогноз госпитальной летальности, потребности в гемотрансфузии и переводе в отделение реанимации и интенсивной терапии</w:t>
      </w:r>
      <w:r w:rsidRPr="006F7A3D">
        <w:rPr>
          <w:b/>
        </w:rPr>
        <w:t xml:space="preserve"> </w:t>
      </w:r>
    </w:p>
    <w:p w14:paraId="010C6341" w14:textId="77777777" w:rsidR="00E52071" w:rsidRPr="00942BC0" w:rsidRDefault="00E52071" w:rsidP="00E52071">
      <w:pPr>
        <w:pStyle w:val="aff"/>
        <w:ind w:left="0" w:firstLine="0"/>
        <w:rPr>
          <w:b/>
          <w:bCs/>
          <w:lang w:val="en-US"/>
        </w:rPr>
      </w:pPr>
      <w:bookmarkStart w:id="125" w:name="_Toc146491653"/>
      <w:r w:rsidRPr="00FC5376">
        <w:rPr>
          <w:b/>
          <w:bCs/>
        </w:rPr>
        <w:t>Содержание</w:t>
      </w:r>
      <w:bookmarkEnd w:id="125"/>
      <w:r>
        <w:rPr>
          <w:b/>
          <w:bCs/>
          <w:lang w:val="en-US"/>
        </w:rPr>
        <w:t>:</w:t>
      </w:r>
    </w:p>
    <w:tbl>
      <w:tblPr>
        <w:tblW w:w="9498" w:type="dxa"/>
        <w:tblInd w:w="5" w:type="dxa"/>
        <w:tblCellMar>
          <w:top w:w="9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3545"/>
        <w:gridCol w:w="1303"/>
      </w:tblGrid>
      <w:tr w:rsidR="00E52071" w:rsidRPr="006F7A3D" w14:paraId="668A27E0" w14:textId="77777777" w:rsidTr="00A12957">
        <w:trPr>
          <w:trHeight w:val="28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6DDC" w14:textId="77777777" w:rsidR="00E52071" w:rsidRPr="006F7A3D" w:rsidRDefault="00E52071" w:rsidP="00A12957">
            <w:r w:rsidRPr="006F7A3D">
              <w:t>Признак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6213" w14:textId="77777777" w:rsidR="00E52071" w:rsidRPr="006F7A3D" w:rsidRDefault="00E52071" w:rsidP="00A12957">
            <w:r w:rsidRPr="006F7A3D">
              <w:t>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26F9" w14:textId="77777777" w:rsidR="00E52071" w:rsidRPr="006F7A3D" w:rsidRDefault="00E52071" w:rsidP="00A12957">
            <w:r w:rsidRPr="006F7A3D">
              <w:t>Балл</w:t>
            </w:r>
          </w:p>
        </w:tc>
      </w:tr>
      <w:tr w:rsidR="00E52071" w:rsidRPr="006F7A3D" w14:paraId="20ED708A" w14:textId="77777777" w:rsidTr="00A12957">
        <w:trPr>
          <w:trHeight w:val="28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9B4F" w14:textId="77777777" w:rsidR="00E52071" w:rsidRPr="006F7A3D" w:rsidRDefault="00E52071" w:rsidP="00A12957">
            <w:r w:rsidRPr="006F7A3D">
              <w:t>Альбумин (г/</w:t>
            </w:r>
            <w:proofErr w:type="spellStart"/>
            <w:r w:rsidRPr="006F7A3D">
              <w:t>дл</w:t>
            </w:r>
            <w:proofErr w:type="spellEnd"/>
            <w:r w:rsidRPr="006F7A3D">
              <w:t xml:space="preserve">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04DB" w14:textId="77777777" w:rsidR="00E52071" w:rsidRPr="006F7A3D" w:rsidRDefault="00E52071" w:rsidP="00A12957">
            <w:proofErr w:type="gramStart"/>
            <w:r w:rsidRPr="006F7A3D">
              <w:t>&lt; 3.0</w:t>
            </w:r>
            <w:proofErr w:type="gramEnd"/>
            <w:r w:rsidRPr="006F7A3D"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399F" w14:textId="77777777" w:rsidR="00E52071" w:rsidRPr="006F7A3D" w:rsidRDefault="00E52071" w:rsidP="00A12957">
            <w:r w:rsidRPr="006F7A3D">
              <w:t xml:space="preserve">1 </w:t>
            </w:r>
          </w:p>
        </w:tc>
      </w:tr>
      <w:tr w:rsidR="00E52071" w:rsidRPr="006F7A3D" w14:paraId="65EA3F0E" w14:textId="77777777" w:rsidTr="00A12957">
        <w:trPr>
          <w:trHeight w:val="28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2790" w14:textId="77777777" w:rsidR="00E52071" w:rsidRPr="006F7A3D" w:rsidRDefault="00E52071" w:rsidP="00A12957">
            <w:r w:rsidRPr="006F7A3D">
              <w:t xml:space="preserve">МНО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9974" w14:textId="77777777" w:rsidR="00E52071" w:rsidRPr="006F7A3D" w:rsidRDefault="00E52071" w:rsidP="00A12957">
            <w:r w:rsidRPr="006F7A3D">
              <w:t xml:space="preserve">&gt; 1.5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BE52" w14:textId="77777777" w:rsidR="00E52071" w:rsidRPr="006F7A3D" w:rsidRDefault="00E52071" w:rsidP="00A12957">
            <w:r w:rsidRPr="006F7A3D">
              <w:t xml:space="preserve">1 </w:t>
            </w:r>
          </w:p>
        </w:tc>
      </w:tr>
      <w:tr w:rsidR="00E52071" w:rsidRPr="006F7A3D" w14:paraId="0F90ADAD" w14:textId="77777777" w:rsidTr="00A12957">
        <w:trPr>
          <w:trHeight w:val="28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F22C" w14:textId="77777777" w:rsidR="00E52071" w:rsidRPr="006F7A3D" w:rsidRDefault="00E52071" w:rsidP="00A12957">
            <w:r w:rsidRPr="006F7A3D">
              <w:t xml:space="preserve">Психический статус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6604" w14:textId="77777777" w:rsidR="00E52071" w:rsidRPr="006F7A3D" w:rsidRDefault="00E52071" w:rsidP="00A12957">
            <w:r w:rsidRPr="006F7A3D">
              <w:t xml:space="preserve">Измененный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6DBC" w14:textId="77777777" w:rsidR="00E52071" w:rsidRPr="006F7A3D" w:rsidRDefault="00E52071" w:rsidP="00A12957">
            <w:r w:rsidRPr="006F7A3D">
              <w:t xml:space="preserve">1 </w:t>
            </w:r>
          </w:p>
        </w:tc>
      </w:tr>
      <w:tr w:rsidR="00E52071" w:rsidRPr="006F7A3D" w14:paraId="493084DB" w14:textId="77777777" w:rsidTr="00A12957">
        <w:trPr>
          <w:trHeight w:val="28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7A4C" w14:textId="77777777" w:rsidR="00E52071" w:rsidRPr="006F7A3D" w:rsidRDefault="00E52071" w:rsidP="00A12957">
            <w:r w:rsidRPr="006F7A3D">
              <w:t xml:space="preserve">Возраст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9524" w14:textId="77777777" w:rsidR="00E52071" w:rsidRPr="006F7A3D" w:rsidRDefault="00E52071" w:rsidP="00A12957">
            <w:r w:rsidRPr="006F7A3D">
              <w:t xml:space="preserve">&gt; 65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769E" w14:textId="77777777" w:rsidR="00E52071" w:rsidRPr="006F7A3D" w:rsidRDefault="00E52071" w:rsidP="00A12957">
            <w:r w:rsidRPr="006F7A3D">
              <w:t xml:space="preserve">1 </w:t>
            </w:r>
          </w:p>
        </w:tc>
      </w:tr>
      <w:tr w:rsidR="00E52071" w:rsidRPr="006F7A3D" w14:paraId="4821D66B" w14:textId="77777777" w:rsidTr="00A12957">
        <w:trPr>
          <w:trHeight w:val="28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054" w14:textId="77777777" w:rsidR="00E52071" w:rsidRPr="006F7A3D" w:rsidRDefault="00E52071" w:rsidP="00A12957">
            <w:r w:rsidRPr="006F7A3D">
              <w:t xml:space="preserve">Систолическое артериальное давление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8081" w14:textId="77777777" w:rsidR="00E52071" w:rsidRPr="006F7A3D" w:rsidRDefault="00E52071" w:rsidP="00A12957">
            <w:proofErr w:type="gramStart"/>
            <w:r w:rsidRPr="006F7A3D">
              <w:t>&lt; 90</w:t>
            </w:r>
            <w:proofErr w:type="gramEnd"/>
            <w:r w:rsidRPr="006F7A3D"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7D40" w14:textId="77777777" w:rsidR="00E52071" w:rsidRPr="006F7A3D" w:rsidRDefault="00E52071" w:rsidP="00A12957">
            <w:r w:rsidRPr="006F7A3D">
              <w:t xml:space="preserve">1 </w:t>
            </w:r>
          </w:p>
        </w:tc>
      </w:tr>
    </w:tbl>
    <w:p w14:paraId="552B9C5D" w14:textId="77777777" w:rsidR="00E52071" w:rsidRPr="006F7A3D" w:rsidRDefault="00E52071" w:rsidP="00E52071"/>
    <w:p w14:paraId="051A7F4B" w14:textId="77777777" w:rsidR="00E52071" w:rsidRDefault="00E52071" w:rsidP="00E52071">
      <w:pPr>
        <w:spacing w:line="360" w:lineRule="auto"/>
      </w:pPr>
      <w:r w:rsidRPr="006F7A3D">
        <w:rPr>
          <w:b/>
        </w:rPr>
        <w:t>Ключ</w:t>
      </w:r>
      <w:r w:rsidRPr="001E78C0">
        <w:rPr>
          <w:b/>
          <w:bCs/>
        </w:rPr>
        <w:t xml:space="preserve"> (интерпретация)</w:t>
      </w:r>
      <w:r w:rsidRPr="006F7A3D">
        <w:rPr>
          <w:b/>
        </w:rPr>
        <w:t>:</w:t>
      </w:r>
      <w:r w:rsidRPr="006F7A3D">
        <w:t xml:space="preserve"> при отсутствии вышеперечисленных рисков внутрибольничная летальность 0.3% по сравнению с 31.8% у пациентов с 5 баллами. </w:t>
      </w:r>
    </w:p>
    <w:p w14:paraId="64921C1D" w14:textId="77777777" w:rsidR="00E52071" w:rsidRPr="00942BC0" w:rsidRDefault="00E52071" w:rsidP="00E52071">
      <w:pPr>
        <w:spacing w:line="360" w:lineRule="auto"/>
        <w:ind w:firstLine="680"/>
      </w:pPr>
      <w:r w:rsidRPr="006F7A3D">
        <w:t xml:space="preserve">Индекс AIMS65&gt;2 баллов у пациентов с язвенными </w:t>
      </w:r>
      <w:proofErr w:type="spellStart"/>
      <w:r w:rsidRPr="006F7A3D">
        <w:t>гатродуоденальными</w:t>
      </w:r>
      <w:proofErr w:type="spellEnd"/>
      <w:r w:rsidRPr="006F7A3D">
        <w:t xml:space="preserve"> кровотечениями указывает на потребность в гемотрансфузии, необходимость перевода в отделение реанимации, высокий риск госпитальной летальности</w:t>
      </w:r>
      <w:r w:rsidRPr="00942BC0">
        <w:br/>
      </w:r>
      <w:r>
        <w:rPr>
          <w:b/>
          <w:bCs/>
        </w:rPr>
        <w:t>Пояснения</w:t>
      </w:r>
      <w:r w:rsidRPr="00942BC0">
        <w:rPr>
          <w:b/>
          <w:bCs/>
        </w:rPr>
        <w:t xml:space="preserve">: </w:t>
      </w:r>
      <w:r>
        <w:t>не требуются</w:t>
      </w:r>
    </w:p>
    <w:p w14:paraId="544D6365" w14:textId="77777777" w:rsidR="00E52071" w:rsidRPr="00474A5E" w:rsidRDefault="00E52071" w:rsidP="00E52071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br w:type="page"/>
      </w:r>
      <w:bookmarkStart w:id="126" w:name="_bookmark20"/>
      <w:bookmarkStart w:id="127" w:name="_Toc146491654"/>
      <w:bookmarkStart w:id="128" w:name="_Toc146739042"/>
      <w:bookmarkStart w:id="129" w:name="_Toc172838908"/>
      <w:bookmarkStart w:id="130" w:name="_Toc172841358"/>
      <w:bookmarkStart w:id="131" w:name="_Toc172841607"/>
      <w:bookmarkEnd w:id="126"/>
      <w:r w:rsidRPr="00474A5E">
        <w:rPr>
          <w:rFonts w:ascii="Times New Roman" w:hAnsi="Times New Roman" w:cs="Times New Roman"/>
          <w:b/>
          <w:color w:val="000000" w:themeColor="text1"/>
        </w:rPr>
        <w:lastRenderedPageBreak/>
        <w:t xml:space="preserve">Приложение Г4. </w:t>
      </w:r>
    </w:p>
    <w:p w14:paraId="37EAF1E2" w14:textId="77777777" w:rsidR="00E52071" w:rsidRPr="00E52071" w:rsidRDefault="00E52071" w:rsidP="00E52071">
      <w:pPr>
        <w:pStyle w:val="2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52071">
        <w:rPr>
          <w:rFonts w:ascii="Times New Roman" w:hAnsi="Times New Roman" w:cs="Times New Roman"/>
          <w:color w:val="000000" w:themeColor="text1"/>
        </w:rPr>
        <w:t>Шкала Глазго-</w:t>
      </w:r>
      <w:proofErr w:type="spellStart"/>
      <w:r w:rsidRPr="00E52071">
        <w:rPr>
          <w:rFonts w:ascii="Times New Roman" w:hAnsi="Times New Roman" w:cs="Times New Roman"/>
          <w:color w:val="000000" w:themeColor="text1"/>
        </w:rPr>
        <w:t>Блэтчфорд</w:t>
      </w:r>
      <w:proofErr w:type="spellEnd"/>
      <w:r w:rsidRPr="00E52071">
        <w:rPr>
          <w:rFonts w:ascii="Times New Roman" w:hAnsi="Times New Roman" w:cs="Times New Roman"/>
          <w:color w:val="000000" w:themeColor="text1"/>
        </w:rPr>
        <w:br/>
      </w:r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Оригинальное </w:t>
      </w:r>
      <w:proofErr w:type="gramStart"/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название: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proofErr w:type="gramEnd"/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Glasgow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Blatchford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Bleeding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Score</w:t>
      </w:r>
      <w:bookmarkEnd w:id="127"/>
      <w:bookmarkEnd w:id="128"/>
      <w:bookmarkEnd w:id="129"/>
      <w:bookmarkEnd w:id="130"/>
      <w:bookmarkEnd w:id="131"/>
    </w:p>
    <w:p w14:paraId="4B4E3CEC" w14:textId="77777777" w:rsidR="00E52071" w:rsidRPr="00DD743F" w:rsidRDefault="00E52071" w:rsidP="00E52071">
      <w:pPr>
        <w:spacing w:line="360" w:lineRule="auto"/>
        <w:rPr>
          <w:color w:val="000000" w:themeColor="text1"/>
          <w:lang w:val="en-US"/>
        </w:rPr>
      </w:pPr>
      <w:r w:rsidRPr="00E52071">
        <w:rPr>
          <w:b/>
          <w:color w:val="000000" w:themeColor="text1"/>
        </w:rPr>
        <w:t>Источник</w:t>
      </w:r>
      <w:r w:rsidRPr="00E52071">
        <w:rPr>
          <w:b/>
          <w:color w:val="000000" w:themeColor="text1"/>
          <w:lang w:val="en-US"/>
        </w:rPr>
        <w:t xml:space="preserve">: </w:t>
      </w:r>
      <w:r w:rsidRPr="00E52071">
        <w:rPr>
          <w:color w:val="000000" w:themeColor="text1"/>
          <w:lang w:val="en-US"/>
        </w:rPr>
        <w:t xml:space="preserve">Chandra S, Hess EP, Agarwal D, Nestler DM, Montori VM, Song LM, Wells GA, </w:t>
      </w:r>
      <w:proofErr w:type="spellStart"/>
      <w:r w:rsidRPr="00E52071">
        <w:rPr>
          <w:color w:val="000000" w:themeColor="text1"/>
          <w:lang w:val="en-US"/>
        </w:rPr>
        <w:t>Stiell</w:t>
      </w:r>
      <w:proofErr w:type="spellEnd"/>
      <w:r w:rsidRPr="00E52071">
        <w:rPr>
          <w:color w:val="000000" w:themeColor="text1"/>
          <w:lang w:val="en-US"/>
        </w:rPr>
        <w:t xml:space="preserve"> IG. External validation of the Glasgow-Blatchford Bleeding Score and the Rockall Score in the US setting. </w:t>
      </w:r>
      <w:r w:rsidRPr="00DD743F">
        <w:rPr>
          <w:color w:val="000000" w:themeColor="text1"/>
          <w:lang w:val="en-US"/>
        </w:rPr>
        <w:t xml:space="preserve">Am J Emerg Med. 2012 Jun;30(5):673-9. </w:t>
      </w:r>
      <w:proofErr w:type="spellStart"/>
      <w:r w:rsidRPr="00DD743F">
        <w:rPr>
          <w:color w:val="000000" w:themeColor="text1"/>
          <w:lang w:val="en-US"/>
        </w:rPr>
        <w:t>doi</w:t>
      </w:r>
      <w:proofErr w:type="spellEnd"/>
      <w:r w:rsidRPr="00DD743F">
        <w:rPr>
          <w:color w:val="000000" w:themeColor="text1"/>
          <w:lang w:val="en-US"/>
        </w:rPr>
        <w:t xml:space="preserve">: 10.1016/j.ajem.2011.03.010. </w:t>
      </w:r>
    </w:p>
    <w:p w14:paraId="13841110" w14:textId="77777777" w:rsidR="00E52071" w:rsidRPr="00DD743F" w:rsidRDefault="00E52071" w:rsidP="00E52071">
      <w:pPr>
        <w:pStyle w:val="aff"/>
        <w:spacing w:line="360" w:lineRule="auto"/>
        <w:ind w:left="0" w:firstLine="0"/>
        <w:rPr>
          <w:b/>
          <w:bCs/>
          <w:color w:val="000000" w:themeColor="text1"/>
          <w:lang w:val="en-US"/>
        </w:rPr>
      </w:pPr>
      <w:r w:rsidRPr="00E52071">
        <w:rPr>
          <w:b/>
          <w:bCs/>
          <w:color w:val="000000" w:themeColor="text1"/>
        </w:rPr>
        <w:t>Тип</w:t>
      </w:r>
      <w:r w:rsidRPr="00DD743F">
        <w:rPr>
          <w:b/>
          <w:bCs/>
          <w:color w:val="000000" w:themeColor="text1"/>
          <w:lang w:val="en-US"/>
        </w:rPr>
        <w:t xml:space="preserve"> (</w:t>
      </w:r>
      <w:r w:rsidRPr="00E52071">
        <w:rPr>
          <w:b/>
          <w:bCs/>
          <w:color w:val="000000" w:themeColor="text1"/>
        </w:rPr>
        <w:t>подчеркнуть</w:t>
      </w:r>
      <w:r w:rsidRPr="00DD743F">
        <w:rPr>
          <w:b/>
          <w:bCs/>
          <w:color w:val="000000" w:themeColor="text1"/>
          <w:lang w:val="en-US"/>
        </w:rPr>
        <w:t>):</w:t>
      </w:r>
    </w:p>
    <w:p w14:paraId="4C8F58CC" w14:textId="77777777" w:rsidR="00E52071" w:rsidRPr="00B35958" w:rsidRDefault="00E52071" w:rsidP="00E52071">
      <w:pPr>
        <w:pStyle w:val="aff"/>
      </w:pPr>
      <w:r w:rsidRPr="00DD743F">
        <w:rPr>
          <w:b/>
          <w:bCs/>
          <w:lang w:val="en-US"/>
        </w:rPr>
        <w:t xml:space="preserve">    </w:t>
      </w:r>
      <w:r w:rsidRPr="00B35958">
        <w:t>- шкала оценки</w:t>
      </w:r>
    </w:p>
    <w:p w14:paraId="324E569D" w14:textId="77777777" w:rsidR="00E52071" w:rsidRPr="00B35958" w:rsidRDefault="00E52071" w:rsidP="00E52071">
      <w:pPr>
        <w:pStyle w:val="aff"/>
      </w:pPr>
      <w:r w:rsidRPr="00B35958">
        <w:t xml:space="preserve">    - </w:t>
      </w:r>
      <w:r w:rsidRPr="00B35958">
        <w:rPr>
          <w:u w:val="single"/>
        </w:rPr>
        <w:t>индекс</w:t>
      </w:r>
    </w:p>
    <w:p w14:paraId="025D89F9" w14:textId="77777777" w:rsidR="00E52071" w:rsidRPr="00B35958" w:rsidRDefault="00E52071" w:rsidP="00E52071">
      <w:pPr>
        <w:pStyle w:val="aff"/>
      </w:pPr>
      <w:r w:rsidRPr="00B35958">
        <w:t xml:space="preserve">    - вопросник</w:t>
      </w:r>
    </w:p>
    <w:p w14:paraId="5982CD21" w14:textId="77777777" w:rsidR="00E52071" w:rsidRPr="00B35958" w:rsidRDefault="00E52071" w:rsidP="00E52071">
      <w:pPr>
        <w:pStyle w:val="aff"/>
        <w:rPr>
          <w:b/>
          <w:bCs/>
        </w:rPr>
      </w:pPr>
      <w:r w:rsidRPr="00B35958">
        <w:rPr>
          <w:b/>
          <w:bCs/>
        </w:rPr>
        <w:t xml:space="preserve">    </w:t>
      </w:r>
      <w:r w:rsidRPr="00B35958">
        <w:t>- другое (уточнить):</w:t>
      </w:r>
      <w:r w:rsidRPr="00B35958">
        <w:rPr>
          <w:b/>
          <w:bCs/>
        </w:rPr>
        <w:t xml:space="preserve"> </w:t>
      </w:r>
    </w:p>
    <w:p w14:paraId="0A044343" w14:textId="77777777" w:rsidR="00E52071" w:rsidRPr="006F7A3D" w:rsidRDefault="00E52071" w:rsidP="00E52071">
      <w:pPr>
        <w:spacing w:line="360" w:lineRule="auto"/>
      </w:pPr>
      <w:r w:rsidRPr="006F7A3D">
        <w:rPr>
          <w:b/>
        </w:rPr>
        <w:t>Назначение:</w:t>
      </w:r>
      <w:r w:rsidRPr="006F7A3D">
        <w:t xml:space="preserve"> прогноз потребности в гемотрансфузии, инвазивном вмешательстве и переводе в отделение реанимации и интенсивной терапии, госпитальной летальности </w:t>
      </w:r>
    </w:p>
    <w:p w14:paraId="60950468" w14:textId="77777777" w:rsidR="00E52071" w:rsidRPr="00942BC0" w:rsidRDefault="00E52071" w:rsidP="00E52071">
      <w:pPr>
        <w:pStyle w:val="aff"/>
        <w:spacing w:line="360" w:lineRule="auto"/>
        <w:ind w:left="0" w:firstLine="0"/>
        <w:rPr>
          <w:b/>
          <w:bCs/>
          <w:lang w:val="en-US"/>
        </w:rPr>
      </w:pPr>
      <w:r w:rsidRPr="00FC5376">
        <w:rPr>
          <w:b/>
          <w:bCs/>
        </w:rPr>
        <w:t>Содержание</w:t>
      </w:r>
      <w:r>
        <w:rPr>
          <w:b/>
          <w:bCs/>
          <w:lang w:val="en-US"/>
        </w:rPr>
        <w:t>:</w:t>
      </w:r>
    </w:p>
    <w:tbl>
      <w:tblPr>
        <w:tblW w:w="9640" w:type="dxa"/>
        <w:tblInd w:w="-34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8125"/>
        <w:gridCol w:w="1515"/>
      </w:tblGrid>
      <w:tr w:rsidR="00E52071" w:rsidRPr="006F7A3D" w14:paraId="53544F47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E3EB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>Признаки риска при поступлении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9BEC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>Балл</w:t>
            </w:r>
          </w:p>
        </w:tc>
      </w:tr>
      <w:tr w:rsidR="00E52071" w:rsidRPr="006F7A3D" w14:paraId="5092F720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722684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Мочевина крови, ммоль/л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90FD" w14:textId="77777777" w:rsidR="00E52071" w:rsidRPr="006F7A3D" w:rsidRDefault="00E52071" w:rsidP="00A12957">
            <w:pPr>
              <w:spacing w:line="336" w:lineRule="auto"/>
              <w:ind w:right="-11"/>
            </w:pPr>
          </w:p>
        </w:tc>
      </w:tr>
      <w:tr w:rsidR="00E52071" w:rsidRPr="006F7A3D" w14:paraId="2BDAF0E5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FD3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6,5-7,9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CC65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2 </w:t>
            </w:r>
          </w:p>
        </w:tc>
      </w:tr>
      <w:tr w:rsidR="00E52071" w:rsidRPr="006F7A3D" w14:paraId="24053AFF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4F7F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8,0-9,9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677F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3 </w:t>
            </w:r>
          </w:p>
        </w:tc>
      </w:tr>
      <w:tr w:rsidR="00E52071" w:rsidRPr="006F7A3D" w14:paraId="40EDDBE5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0387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10,0-24,9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4967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4 </w:t>
            </w:r>
          </w:p>
        </w:tc>
      </w:tr>
      <w:tr w:rsidR="00E52071" w:rsidRPr="006F7A3D" w14:paraId="42E341AF" w14:textId="77777777" w:rsidTr="00A12957">
        <w:trPr>
          <w:trHeight w:val="327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B431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≥25,0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60AA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6 </w:t>
            </w:r>
          </w:p>
        </w:tc>
      </w:tr>
      <w:tr w:rsidR="00E52071" w:rsidRPr="006F7A3D" w14:paraId="113AD0C9" w14:textId="77777777" w:rsidTr="00A12957">
        <w:trPr>
          <w:trHeight w:val="32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BBA8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Гемоглобин у мужчин, г/л </w:t>
            </w:r>
          </w:p>
        </w:tc>
      </w:tr>
      <w:tr w:rsidR="00E52071" w:rsidRPr="006F7A3D" w14:paraId="76A82C95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5DB4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>120</w:t>
            </w:r>
            <w:r>
              <w:t xml:space="preserve"> – </w:t>
            </w:r>
            <w:r w:rsidRPr="006F7A3D">
              <w:t xml:space="preserve">129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7C15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1 </w:t>
            </w:r>
          </w:p>
        </w:tc>
      </w:tr>
      <w:tr w:rsidR="00E52071" w:rsidRPr="006F7A3D" w14:paraId="245EF854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532E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>100</w:t>
            </w:r>
            <w:r>
              <w:t xml:space="preserve"> – </w:t>
            </w:r>
            <w:r w:rsidRPr="006F7A3D">
              <w:t xml:space="preserve">119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D9B6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3 </w:t>
            </w:r>
          </w:p>
        </w:tc>
      </w:tr>
      <w:tr w:rsidR="00E52071" w:rsidRPr="006F7A3D" w14:paraId="31C08583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86DB" w14:textId="77777777" w:rsidR="00E52071" w:rsidRPr="006F7A3D" w:rsidRDefault="00E52071" w:rsidP="00A12957">
            <w:pPr>
              <w:spacing w:line="336" w:lineRule="auto"/>
              <w:ind w:right="-11"/>
            </w:pPr>
            <w:proofErr w:type="gramStart"/>
            <w:r w:rsidRPr="006F7A3D">
              <w:t>&lt; 100</w:t>
            </w:r>
            <w:proofErr w:type="gramEnd"/>
            <w:r w:rsidRPr="006F7A3D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5F51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6 </w:t>
            </w:r>
          </w:p>
        </w:tc>
      </w:tr>
      <w:tr w:rsidR="00E52071" w:rsidRPr="006F7A3D" w14:paraId="32AB4A7C" w14:textId="77777777" w:rsidTr="00A12957">
        <w:trPr>
          <w:trHeight w:val="32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B966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Гемоглобин у женщин, г/л </w:t>
            </w:r>
          </w:p>
        </w:tc>
      </w:tr>
      <w:tr w:rsidR="00E52071" w:rsidRPr="006F7A3D" w14:paraId="0F93C6EE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3503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>100</w:t>
            </w:r>
            <w:r>
              <w:t xml:space="preserve"> – </w:t>
            </w:r>
            <w:r w:rsidRPr="006F7A3D">
              <w:t xml:space="preserve">119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9640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1 </w:t>
            </w:r>
          </w:p>
        </w:tc>
      </w:tr>
      <w:tr w:rsidR="00E52071" w:rsidRPr="006F7A3D" w14:paraId="7307F25D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5C59" w14:textId="77777777" w:rsidR="00E52071" w:rsidRPr="006F7A3D" w:rsidRDefault="00E52071" w:rsidP="00A12957">
            <w:pPr>
              <w:spacing w:line="336" w:lineRule="auto"/>
              <w:ind w:right="-11"/>
            </w:pPr>
            <w:proofErr w:type="gramStart"/>
            <w:r w:rsidRPr="006F7A3D">
              <w:t>&lt; 100</w:t>
            </w:r>
            <w:proofErr w:type="gramEnd"/>
            <w:r w:rsidRPr="006F7A3D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8B8A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6 </w:t>
            </w:r>
          </w:p>
        </w:tc>
      </w:tr>
      <w:tr w:rsidR="00E52071" w:rsidRPr="006F7A3D" w14:paraId="2F6B1B86" w14:textId="77777777" w:rsidTr="00A12957">
        <w:trPr>
          <w:trHeight w:val="32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D3B2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Систолическое артериальное давление (мм </w:t>
            </w:r>
            <w:proofErr w:type="spellStart"/>
            <w:r w:rsidRPr="006F7A3D">
              <w:t>рт.ст</w:t>
            </w:r>
            <w:proofErr w:type="spellEnd"/>
            <w:r w:rsidRPr="006F7A3D">
              <w:t xml:space="preserve">.) </w:t>
            </w:r>
          </w:p>
        </w:tc>
      </w:tr>
      <w:tr w:rsidR="00E52071" w:rsidRPr="006F7A3D" w14:paraId="7499B674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9E93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>100</w:t>
            </w:r>
            <w:r>
              <w:t xml:space="preserve"> – </w:t>
            </w:r>
            <w:r w:rsidRPr="006F7A3D">
              <w:t xml:space="preserve">109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3E66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1 </w:t>
            </w:r>
          </w:p>
        </w:tc>
      </w:tr>
      <w:tr w:rsidR="00E52071" w:rsidRPr="006F7A3D" w14:paraId="6ED704A4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7375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>90</w:t>
            </w:r>
            <w:r>
              <w:t xml:space="preserve"> – </w:t>
            </w:r>
            <w:r w:rsidRPr="006F7A3D">
              <w:t xml:space="preserve">99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17F6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2 </w:t>
            </w:r>
          </w:p>
        </w:tc>
      </w:tr>
      <w:tr w:rsidR="00E52071" w:rsidRPr="006F7A3D" w14:paraId="2F5729CE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0455" w14:textId="77777777" w:rsidR="00E52071" w:rsidRPr="006F7A3D" w:rsidRDefault="00E52071" w:rsidP="00A12957">
            <w:pPr>
              <w:spacing w:line="336" w:lineRule="auto"/>
              <w:ind w:right="-11"/>
            </w:pPr>
            <w:proofErr w:type="gramStart"/>
            <w:r w:rsidRPr="006F7A3D">
              <w:t>&lt; 90</w:t>
            </w:r>
            <w:proofErr w:type="gramEnd"/>
            <w:r w:rsidRPr="006F7A3D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1B5A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3 </w:t>
            </w:r>
          </w:p>
        </w:tc>
      </w:tr>
      <w:tr w:rsidR="00E52071" w:rsidRPr="006F7A3D" w14:paraId="13DBBE36" w14:textId="77777777" w:rsidTr="00A12957">
        <w:trPr>
          <w:trHeight w:val="32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A312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Другие признаки </w:t>
            </w:r>
          </w:p>
        </w:tc>
      </w:tr>
      <w:tr w:rsidR="00E52071" w:rsidRPr="006F7A3D" w14:paraId="1B7D3682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DAD5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Пульс ≥100 в минуту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0695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1 </w:t>
            </w:r>
          </w:p>
        </w:tc>
      </w:tr>
      <w:tr w:rsidR="00E52071" w:rsidRPr="006F7A3D" w14:paraId="4BD5220F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CB6E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lastRenderedPageBreak/>
              <w:t xml:space="preserve">Наличие мелены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0944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1 </w:t>
            </w:r>
          </w:p>
        </w:tc>
      </w:tr>
      <w:tr w:rsidR="00E52071" w:rsidRPr="006F7A3D" w14:paraId="391B363D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87AB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Утрата сознания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8C60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2 </w:t>
            </w:r>
          </w:p>
        </w:tc>
      </w:tr>
      <w:tr w:rsidR="00E52071" w:rsidRPr="006F7A3D" w14:paraId="139288F5" w14:textId="77777777" w:rsidTr="00A12957">
        <w:trPr>
          <w:trHeight w:val="329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8345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Наличие заболеваний печени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E859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2 </w:t>
            </w:r>
          </w:p>
        </w:tc>
      </w:tr>
      <w:tr w:rsidR="00E52071" w:rsidRPr="006F7A3D" w14:paraId="24F621F5" w14:textId="77777777" w:rsidTr="00A12957">
        <w:trPr>
          <w:trHeight w:val="326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E4AF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Сердечная недостаточность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0AEE" w14:textId="77777777" w:rsidR="00E52071" w:rsidRPr="006F7A3D" w:rsidRDefault="00E52071" w:rsidP="00A12957">
            <w:pPr>
              <w:spacing w:line="336" w:lineRule="auto"/>
              <w:ind w:right="-11"/>
            </w:pPr>
            <w:r w:rsidRPr="006F7A3D">
              <w:t xml:space="preserve">2 </w:t>
            </w:r>
          </w:p>
        </w:tc>
      </w:tr>
    </w:tbl>
    <w:p w14:paraId="11817126" w14:textId="77777777" w:rsidR="00E52071" w:rsidRDefault="00E52071" w:rsidP="00E52071"/>
    <w:p w14:paraId="2DDE7AAD" w14:textId="77777777" w:rsidR="00E52071" w:rsidRPr="001E78C0" w:rsidRDefault="00E52071" w:rsidP="00E52071">
      <w:pPr>
        <w:spacing w:line="360" w:lineRule="auto"/>
      </w:pPr>
      <w:r w:rsidRPr="006F7A3D">
        <w:rPr>
          <w:b/>
        </w:rPr>
        <w:t>Ключ</w:t>
      </w:r>
      <w:r w:rsidRPr="001E78C0">
        <w:rPr>
          <w:b/>
          <w:bCs/>
        </w:rPr>
        <w:t xml:space="preserve"> (интерпретация)</w:t>
      </w:r>
      <w:r w:rsidRPr="006F7A3D">
        <w:rPr>
          <w:b/>
        </w:rPr>
        <w:t>:</w:t>
      </w:r>
      <w:r w:rsidRPr="006F7A3D">
        <w:t xml:space="preserve"> </w:t>
      </w:r>
      <w:proofErr w:type="gramStart"/>
      <w:r w:rsidRPr="006F7A3D">
        <w:t>Значения</w:t>
      </w:r>
      <w:r>
        <w:t xml:space="preserve"> </w:t>
      </w:r>
      <w:r w:rsidRPr="006F7A3D">
        <w:t>&gt;</w:t>
      </w:r>
      <w:proofErr w:type="gramEnd"/>
      <w:r>
        <w:t xml:space="preserve"> </w:t>
      </w:r>
      <w:r w:rsidRPr="006F7A3D">
        <w:t xml:space="preserve">6 баллов ассоциированы с более чем вдвое повышенным риском необходимости эндоскопического, эндоваскулярного или хирургического вмешательства. </w:t>
      </w:r>
    </w:p>
    <w:p w14:paraId="4B14F758" w14:textId="77777777" w:rsidR="00E52071" w:rsidRPr="00DD743F" w:rsidRDefault="00E52071" w:rsidP="00E52071">
      <w:pPr>
        <w:spacing w:line="360" w:lineRule="auto"/>
      </w:pPr>
      <w:r>
        <w:rPr>
          <w:b/>
          <w:bCs/>
        </w:rPr>
        <w:t>Пояснения</w:t>
      </w:r>
      <w:r w:rsidRPr="00942BC0">
        <w:rPr>
          <w:b/>
          <w:bCs/>
        </w:rPr>
        <w:t xml:space="preserve">: </w:t>
      </w:r>
      <w:r>
        <w:t>не требуются</w:t>
      </w:r>
    </w:p>
    <w:p w14:paraId="44BCADCA" w14:textId="5E32274D" w:rsidR="00E52071" w:rsidRDefault="00E52071" w:rsidP="00474A5E">
      <w:pPr>
        <w:pStyle w:val="2"/>
        <w:spacing w:line="360" w:lineRule="auto"/>
      </w:pPr>
      <w:bookmarkStart w:id="132" w:name="_bookmark21"/>
      <w:bookmarkStart w:id="133" w:name="_Toc146491655"/>
      <w:bookmarkStart w:id="134" w:name="_Toc146739043"/>
      <w:bookmarkStart w:id="135" w:name="_Toc172838909"/>
      <w:bookmarkEnd w:id="132"/>
      <w:r>
        <w:br w:type="page"/>
      </w:r>
      <w:bookmarkEnd w:id="133"/>
      <w:bookmarkEnd w:id="134"/>
      <w:bookmarkEnd w:id="135"/>
      <w:r w:rsidR="00474A5E">
        <w:lastRenderedPageBreak/>
        <w:t xml:space="preserve"> </w:t>
      </w:r>
    </w:p>
    <w:p w14:paraId="1563F9F3" w14:textId="290AB18A" w:rsidR="00E52071" w:rsidRPr="00474A5E" w:rsidRDefault="00E52071" w:rsidP="00E52071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bookmarkStart w:id="136" w:name="_bookmark22"/>
      <w:bookmarkStart w:id="137" w:name="_Toc146491656"/>
      <w:bookmarkStart w:id="138" w:name="_Toc146739044"/>
      <w:bookmarkStart w:id="139" w:name="_Toc172838910"/>
      <w:bookmarkStart w:id="140" w:name="_Toc172841360"/>
      <w:bookmarkStart w:id="141" w:name="_Toc172841609"/>
      <w:bookmarkEnd w:id="136"/>
      <w:r w:rsidRPr="00474A5E">
        <w:rPr>
          <w:rFonts w:ascii="Times New Roman" w:hAnsi="Times New Roman" w:cs="Times New Roman"/>
          <w:b/>
          <w:color w:val="000000" w:themeColor="text1"/>
        </w:rPr>
        <w:t>Приложение Г</w:t>
      </w:r>
      <w:r w:rsidR="00474A5E">
        <w:rPr>
          <w:rFonts w:ascii="Times New Roman" w:hAnsi="Times New Roman" w:cs="Times New Roman"/>
          <w:b/>
          <w:color w:val="000000" w:themeColor="text1"/>
        </w:rPr>
        <w:t>5</w:t>
      </w:r>
      <w:r w:rsidRPr="00474A5E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37789168" w14:textId="77777777" w:rsidR="00E52071" w:rsidRPr="00E52071" w:rsidRDefault="00E52071" w:rsidP="00E52071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2071">
        <w:rPr>
          <w:rFonts w:ascii="Times New Roman" w:hAnsi="Times New Roman" w:cs="Times New Roman"/>
          <w:color w:val="000000" w:themeColor="text1"/>
        </w:rPr>
        <w:t xml:space="preserve">Шкала риска </w:t>
      </w:r>
      <w:proofErr w:type="spellStart"/>
      <w:r w:rsidRPr="00E52071">
        <w:rPr>
          <w:rFonts w:ascii="Times New Roman" w:hAnsi="Times New Roman" w:cs="Times New Roman"/>
          <w:color w:val="000000" w:themeColor="text1"/>
        </w:rPr>
        <w:t>Рокалла</w:t>
      </w:r>
      <w:proofErr w:type="spellEnd"/>
      <w:r w:rsidRPr="00E52071">
        <w:rPr>
          <w:rFonts w:ascii="Times New Roman" w:hAnsi="Times New Roman" w:cs="Times New Roman"/>
          <w:color w:val="000000" w:themeColor="text1"/>
        </w:rPr>
        <w:t xml:space="preserve"> </w:t>
      </w:r>
    </w:p>
    <w:p w14:paraId="276F0A1D" w14:textId="77777777" w:rsidR="00E52071" w:rsidRPr="005318A3" w:rsidRDefault="00E52071" w:rsidP="00E52071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Оригинальное</w:t>
      </w:r>
      <w:r w:rsidRPr="005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color w:val="000000" w:themeColor="text1"/>
          <w:sz w:val="24"/>
          <w:szCs w:val="24"/>
        </w:rPr>
        <w:t>название</w:t>
      </w:r>
      <w:r w:rsidRPr="005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531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Rockall</w:t>
      </w:r>
      <w:r w:rsidRPr="00531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Risk</w:t>
      </w:r>
      <w:r w:rsidRPr="00531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Scoring</w:t>
      </w:r>
      <w:r w:rsidRPr="00531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2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System</w:t>
      </w:r>
      <w:bookmarkEnd w:id="137"/>
      <w:bookmarkEnd w:id="138"/>
      <w:bookmarkEnd w:id="139"/>
      <w:bookmarkEnd w:id="140"/>
      <w:bookmarkEnd w:id="141"/>
    </w:p>
    <w:p w14:paraId="69E3D160" w14:textId="77777777" w:rsidR="00E52071" w:rsidRPr="00E52071" w:rsidRDefault="00E52071" w:rsidP="00E52071">
      <w:pPr>
        <w:spacing w:line="360" w:lineRule="auto"/>
        <w:rPr>
          <w:color w:val="000000" w:themeColor="text1"/>
        </w:rPr>
      </w:pPr>
      <w:r w:rsidRPr="00E52071">
        <w:rPr>
          <w:b/>
          <w:color w:val="000000" w:themeColor="text1"/>
        </w:rPr>
        <w:t xml:space="preserve">Источник: </w:t>
      </w:r>
      <w:proofErr w:type="spellStart"/>
      <w:r w:rsidRPr="00E52071">
        <w:rPr>
          <w:color w:val="000000" w:themeColor="text1"/>
        </w:rPr>
        <w:t>VreeburgEM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TerweeCB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SnelP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RauwsEA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BartelsmanJF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MeulenJH</w:t>
      </w:r>
      <w:proofErr w:type="spellEnd"/>
      <w:r w:rsidRPr="00E52071">
        <w:rPr>
          <w:color w:val="000000" w:themeColor="text1"/>
        </w:rPr>
        <w:t xml:space="preserve">, </w:t>
      </w:r>
      <w:proofErr w:type="spellStart"/>
      <w:r w:rsidRPr="00E52071">
        <w:rPr>
          <w:color w:val="000000" w:themeColor="text1"/>
        </w:rPr>
        <w:t>TytgatGN</w:t>
      </w:r>
      <w:proofErr w:type="spellEnd"/>
      <w:r w:rsidRPr="00E52071">
        <w:rPr>
          <w:color w:val="000000" w:themeColor="text1"/>
        </w:rPr>
        <w:t xml:space="preserve">. </w:t>
      </w:r>
      <w:r w:rsidRPr="00E52071">
        <w:rPr>
          <w:color w:val="000000" w:themeColor="text1"/>
          <w:lang w:val="en-US"/>
        </w:rPr>
        <w:t xml:space="preserve">Validation of the Rockall risk scoring system in upper gastrointestinal bleeding. </w:t>
      </w:r>
      <w:proofErr w:type="spellStart"/>
      <w:r w:rsidRPr="00E52071">
        <w:rPr>
          <w:color w:val="000000" w:themeColor="text1"/>
        </w:rPr>
        <w:t>Gut</w:t>
      </w:r>
      <w:proofErr w:type="spellEnd"/>
      <w:r w:rsidRPr="00E52071">
        <w:rPr>
          <w:color w:val="000000" w:themeColor="text1"/>
        </w:rPr>
        <w:t xml:space="preserve">. 1999 Mar;44(3):331-5. </w:t>
      </w:r>
      <w:proofErr w:type="spellStart"/>
      <w:r w:rsidRPr="00E52071">
        <w:rPr>
          <w:color w:val="000000" w:themeColor="text1"/>
        </w:rPr>
        <w:t>doi</w:t>
      </w:r>
      <w:proofErr w:type="spellEnd"/>
      <w:r w:rsidRPr="00E52071">
        <w:rPr>
          <w:color w:val="000000" w:themeColor="text1"/>
        </w:rPr>
        <w:t xml:space="preserve">: 10.1136/gut.44.3.331. </w:t>
      </w:r>
    </w:p>
    <w:p w14:paraId="63E43DB8" w14:textId="77777777" w:rsidR="00E52071" w:rsidRPr="00E52071" w:rsidRDefault="00E52071" w:rsidP="00E52071">
      <w:pPr>
        <w:pStyle w:val="aff"/>
        <w:spacing w:line="360" w:lineRule="auto"/>
        <w:ind w:left="0" w:firstLine="0"/>
        <w:rPr>
          <w:b/>
          <w:bCs/>
          <w:color w:val="000000" w:themeColor="text1"/>
        </w:rPr>
      </w:pPr>
      <w:r w:rsidRPr="00E52071">
        <w:rPr>
          <w:b/>
          <w:bCs/>
          <w:color w:val="000000" w:themeColor="text1"/>
        </w:rPr>
        <w:t>Тип (подчеркнуть):</w:t>
      </w:r>
    </w:p>
    <w:p w14:paraId="4620A09F" w14:textId="77777777" w:rsidR="00E52071" w:rsidRPr="00B35958" w:rsidRDefault="00E52071" w:rsidP="00E52071">
      <w:pPr>
        <w:pStyle w:val="aff"/>
      </w:pPr>
      <w:r w:rsidRPr="00B35958">
        <w:rPr>
          <w:b/>
          <w:bCs/>
        </w:rPr>
        <w:t xml:space="preserve">    </w:t>
      </w:r>
      <w:r w:rsidRPr="00B35958">
        <w:t>- шкала оценки</w:t>
      </w:r>
    </w:p>
    <w:p w14:paraId="6CBED95D" w14:textId="77777777" w:rsidR="00E52071" w:rsidRPr="00B35958" w:rsidRDefault="00E52071" w:rsidP="00E52071">
      <w:pPr>
        <w:pStyle w:val="aff"/>
      </w:pPr>
      <w:r w:rsidRPr="00B35958">
        <w:t xml:space="preserve">    - </w:t>
      </w:r>
      <w:r w:rsidRPr="00B35958">
        <w:rPr>
          <w:u w:val="single"/>
        </w:rPr>
        <w:t>индекс</w:t>
      </w:r>
    </w:p>
    <w:p w14:paraId="70A5AA4F" w14:textId="77777777" w:rsidR="00E52071" w:rsidRPr="00B35958" w:rsidRDefault="00E52071" w:rsidP="00E52071">
      <w:pPr>
        <w:pStyle w:val="aff"/>
      </w:pPr>
      <w:r w:rsidRPr="00B35958">
        <w:t xml:space="preserve">    - вопросник</w:t>
      </w:r>
    </w:p>
    <w:p w14:paraId="1E839DB3" w14:textId="77777777" w:rsidR="00E52071" w:rsidRPr="005B3133" w:rsidRDefault="00E52071" w:rsidP="00E52071">
      <w:pPr>
        <w:pStyle w:val="aff"/>
        <w:rPr>
          <w:b/>
          <w:bCs/>
        </w:rPr>
      </w:pPr>
      <w:r w:rsidRPr="00B35958">
        <w:rPr>
          <w:b/>
          <w:bCs/>
        </w:rPr>
        <w:t xml:space="preserve">    </w:t>
      </w:r>
      <w:r w:rsidRPr="00B35958">
        <w:t>- другое (уточнить):</w:t>
      </w:r>
      <w:r w:rsidRPr="00B35958">
        <w:rPr>
          <w:b/>
          <w:bCs/>
        </w:rPr>
        <w:t xml:space="preserve"> </w:t>
      </w:r>
    </w:p>
    <w:p w14:paraId="3A459F63" w14:textId="77777777" w:rsidR="00E52071" w:rsidRDefault="00E52071" w:rsidP="00E52071">
      <w:r w:rsidRPr="006F7A3D">
        <w:rPr>
          <w:b/>
        </w:rPr>
        <w:t xml:space="preserve">Назначение: </w:t>
      </w:r>
      <w:r w:rsidRPr="006F7A3D">
        <w:t xml:space="preserve">прогноз госпитальной летальности, рецидива кровотечения </w:t>
      </w:r>
    </w:p>
    <w:p w14:paraId="1C007E1F" w14:textId="77777777" w:rsidR="00DD743F" w:rsidRPr="006F7A3D" w:rsidRDefault="00DD743F" w:rsidP="00E52071"/>
    <w:p w14:paraId="59F326FA" w14:textId="77777777" w:rsidR="00E52071" w:rsidRDefault="00E52071" w:rsidP="00E52071">
      <w:pPr>
        <w:rPr>
          <w:b/>
          <w:bCs/>
        </w:rPr>
      </w:pPr>
      <w:bookmarkStart w:id="142" w:name="_Toc146491657"/>
      <w:r w:rsidRPr="00FC5376">
        <w:rPr>
          <w:b/>
          <w:bCs/>
        </w:rPr>
        <w:t>Содержание</w:t>
      </w:r>
      <w:r>
        <w:rPr>
          <w:b/>
          <w:bCs/>
          <w:lang w:val="en-US"/>
        </w:rPr>
        <w:t>:</w:t>
      </w:r>
      <w:r w:rsidRPr="00FC5376">
        <w:rPr>
          <w:b/>
          <w:bCs/>
        </w:rPr>
        <w:t xml:space="preserve"> </w:t>
      </w:r>
      <w:bookmarkEnd w:id="142"/>
    </w:p>
    <w:p w14:paraId="602B3C1B" w14:textId="77777777" w:rsidR="00DD743F" w:rsidRPr="00FC5376" w:rsidRDefault="00DD743F" w:rsidP="00E52071">
      <w:pPr>
        <w:rPr>
          <w:b/>
          <w:bCs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12"/>
        <w:gridCol w:w="1680"/>
        <w:gridCol w:w="1395"/>
        <w:gridCol w:w="2178"/>
        <w:gridCol w:w="2499"/>
      </w:tblGrid>
      <w:tr w:rsidR="00E52071" w:rsidRPr="00315ACF" w14:paraId="286AFCBD" w14:textId="77777777" w:rsidTr="00A12957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5ADB83D" w14:textId="77777777" w:rsidR="00E52071" w:rsidRPr="00315ACF" w:rsidRDefault="00E52071" w:rsidP="00A12957">
            <w:pPr>
              <w:jc w:val="center"/>
            </w:pPr>
            <w:r w:rsidRPr="00315ACF">
              <w:t>Показатель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481F399" w14:textId="77777777" w:rsidR="00E52071" w:rsidRPr="00315ACF" w:rsidRDefault="00E52071" w:rsidP="00A12957">
            <w:pPr>
              <w:jc w:val="center"/>
            </w:pPr>
            <w:r w:rsidRPr="00315ACF">
              <w:t>Балл</w:t>
            </w:r>
          </w:p>
        </w:tc>
      </w:tr>
      <w:tr w:rsidR="00E52071" w:rsidRPr="00FC5376" w14:paraId="30FA0C58" w14:textId="77777777" w:rsidTr="00A12957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2B6EB56E" w14:textId="77777777" w:rsidR="00E52071" w:rsidRPr="00315ACF" w:rsidRDefault="00E52071" w:rsidP="00A12957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2FD79" w14:textId="77777777" w:rsidR="00E52071" w:rsidRPr="00315ACF" w:rsidRDefault="00E52071" w:rsidP="00A12957">
            <w:pPr>
              <w:jc w:val="center"/>
            </w:pPr>
            <w:r w:rsidRPr="00315ACF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2F3DC" w14:textId="77777777" w:rsidR="00E52071" w:rsidRPr="00315ACF" w:rsidRDefault="00E52071" w:rsidP="00A12957">
            <w:pPr>
              <w:jc w:val="center"/>
            </w:pPr>
            <w:r w:rsidRPr="00315ACF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1FDCA" w14:textId="77777777" w:rsidR="00E52071" w:rsidRPr="00315ACF" w:rsidRDefault="00E52071" w:rsidP="00A12957">
            <w:pPr>
              <w:jc w:val="center"/>
            </w:pPr>
            <w:r w:rsidRPr="00315ACF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1F111" w14:textId="77777777" w:rsidR="00E52071" w:rsidRPr="00315ACF" w:rsidRDefault="00E52071" w:rsidP="00A12957">
            <w:pPr>
              <w:jc w:val="center"/>
            </w:pPr>
            <w:r w:rsidRPr="00315ACF">
              <w:t>3</w:t>
            </w:r>
          </w:p>
        </w:tc>
      </w:tr>
      <w:tr w:rsidR="00E52071" w:rsidRPr="00FC5376" w14:paraId="7C28B7D7" w14:textId="77777777" w:rsidTr="00A1295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3B8466B" w14:textId="77777777" w:rsidR="00E52071" w:rsidRPr="00315ACF" w:rsidRDefault="00E52071" w:rsidP="00A12957">
            <w:pPr>
              <w:jc w:val="center"/>
            </w:pPr>
            <w:r w:rsidRPr="00315ACF">
              <w:t>Возраст (лет)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21E0F" w14:textId="77777777" w:rsidR="00E52071" w:rsidRPr="00315ACF" w:rsidRDefault="00E52071" w:rsidP="00A12957">
            <w:pPr>
              <w:jc w:val="center"/>
            </w:pPr>
            <w:r w:rsidRPr="00315ACF">
              <w:t>Моложе 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7FF36" w14:textId="77777777" w:rsidR="00E52071" w:rsidRPr="00315ACF" w:rsidRDefault="00E52071" w:rsidP="00A12957">
            <w:pPr>
              <w:jc w:val="center"/>
            </w:pPr>
            <w:r w:rsidRPr="00315ACF">
              <w:t>60–79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6ABAF" w14:textId="77777777" w:rsidR="00E52071" w:rsidRPr="00315ACF" w:rsidRDefault="00E52071" w:rsidP="00A12957">
            <w:pPr>
              <w:jc w:val="center"/>
            </w:pPr>
            <w:r w:rsidRPr="00315ACF">
              <w:t>80 и старше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53617" w14:textId="77777777" w:rsidR="00E52071" w:rsidRPr="00315ACF" w:rsidRDefault="00E52071" w:rsidP="00A12957">
            <w:pPr>
              <w:jc w:val="center"/>
            </w:pPr>
          </w:p>
        </w:tc>
      </w:tr>
      <w:tr w:rsidR="00E52071" w:rsidRPr="00FC5376" w14:paraId="702E4D79" w14:textId="77777777" w:rsidTr="00A1295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21A8BE" w14:textId="77777777" w:rsidR="00E52071" w:rsidRPr="00315ACF" w:rsidRDefault="00E52071" w:rsidP="00A12957">
            <w:r w:rsidRPr="00315ACF">
              <w:t>Шок</w:t>
            </w:r>
          </w:p>
          <w:p w14:paraId="435361C2" w14:textId="77777777" w:rsidR="00E52071" w:rsidRPr="00315ACF" w:rsidRDefault="00E52071" w:rsidP="00A12957">
            <w:r w:rsidRPr="00FC5376">
              <w:rPr>
                <w:bCs/>
              </w:rPr>
              <w:t>ЧСС</w:t>
            </w:r>
            <w:r w:rsidRPr="00315ACF">
              <w:rPr>
                <w:b/>
              </w:rPr>
              <w:t xml:space="preserve"> (</w:t>
            </w:r>
            <w:r w:rsidRPr="00315ACF">
              <w:t>уд/мин)</w:t>
            </w:r>
          </w:p>
          <w:p w14:paraId="70DA160E" w14:textId="77777777" w:rsidR="00E52071" w:rsidRPr="00315ACF" w:rsidRDefault="00E52071" w:rsidP="00A12957">
            <w:proofErr w:type="spellStart"/>
            <w:r w:rsidRPr="00315ACF">
              <w:t>Сист</w:t>
            </w:r>
            <w:proofErr w:type="spellEnd"/>
            <w:r w:rsidRPr="00315ACF">
              <w:t>. АД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1B55" w14:textId="77777777" w:rsidR="00E52071" w:rsidRPr="00315ACF" w:rsidRDefault="00E52071" w:rsidP="00A12957">
            <w:r w:rsidRPr="00315ACF">
              <w:t>Шока нет</w:t>
            </w:r>
          </w:p>
          <w:p w14:paraId="355E7CA6" w14:textId="77777777" w:rsidR="00E52071" w:rsidRPr="00315ACF" w:rsidRDefault="00E52071" w:rsidP="00A12957">
            <w:r w:rsidRPr="00315ACF">
              <w:t>&lt;100</w:t>
            </w:r>
          </w:p>
          <w:p w14:paraId="04E0AE05" w14:textId="77777777" w:rsidR="00E52071" w:rsidRPr="00315ACF" w:rsidRDefault="00E52071" w:rsidP="00A12957">
            <w:r w:rsidRPr="00315ACF">
              <w:t>≥ 100 мм рт.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0B4C2" w14:textId="77777777" w:rsidR="00E52071" w:rsidRPr="00315ACF" w:rsidRDefault="00E52071" w:rsidP="00A12957">
            <w:r w:rsidRPr="00315ACF">
              <w:t>Тахикардия</w:t>
            </w:r>
          </w:p>
          <w:p w14:paraId="76A34021" w14:textId="77777777" w:rsidR="00E52071" w:rsidRPr="00315ACF" w:rsidRDefault="00E52071" w:rsidP="00A12957">
            <w:r w:rsidRPr="00315ACF">
              <w:t>≥ 100</w:t>
            </w:r>
          </w:p>
          <w:p w14:paraId="6FE02108" w14:textId="77777777" w:rsidR="00E52071" w:rsidRPr="00315ACF" w:rsidRDefault="00E52071" w:rsidP="00A12957">
            <w:r w:rsidRPr="00315ACF">
              <w:t>≥ 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0113E" w14:textId="77777777" w:rsidR="00E52071" w:rsidRPr="00315ACF" w:rsidRDefault="00E52071" w:rsidP="00A12957">
            <w:r w:rsidRPr="00315ACF">
              <w:t>Гипотензия</w:t>
            </w:r>
          </w:p>
          <w:p w14:paraId="74822933" w14:textId="77777777" w:rsidR="00E52071" w:rsidRPr="00315ACF" w:rsidRDefault="00E52071" w:rsidP="00A12957">
            <w:r w:rsidRPr="00315ACF">
              <w:t>–</w:t>
            </w:r>
          </w:p>
          <w:p w14:paraId="407373C7" w14:textId="77777777" w:rsidR="00E52071" w:rsidRPr="00315ACF" w:rsidRDefault="00E52071" w:rsidP="00A12957">
            <w:r w:rsidRPr="00315ACF">
              <w:t>&lt;100 мм рт. ст.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D62A6" w14:textId="77777777" w:rsidR="00E52071" w:rsidRPr="00315ACF" w:rsidRDefault="00E52071" w:rsidP="00A12957">
            <w:pPr>
              <w:jc w:val="center"/>
            </w:pPr>
            <w:r w:rsidRPr="00315ACF">
              <w:t>–</w:t>
            </w:r>
          </w:p>
        </w:tc>
      </w:tr>
      <w:tr w:rsidR="00E52071" w:rsidRPr="00FC5376" w14:paraId="345A597B" w14:textId="77777777" w:rsidTr="00A1295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B5F0CA0" w14:textId="77777777" w:rsidR="00E52071" w:rsidRPr="00315ACF" w:rsidRDefault="00E52071" w:rsidP="00A12957">
            <w:r w:rsidRPr="00315ACF">
              <w:t>Сопутствующие заболевания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41EBB" w14:textId="77777777" w:rsidR="00E52071" w:rsidRPr="00315ACF" w:rsidRDefault="00E52071" w:rsidP="00A12957">
            <w:r w:rsidRPr="00315ACF">
              <w:t>Отсутствуют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BC626" w14:textId="77777777" w:rsidR="00E52071" w:rsidRPr="00315ACF" w:rsidRDefault="00E52071" w:rsidP="00A12957">
            <w:r w:rsidRPr="00315ACF"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D6DF5" w14:textId="77777777" w:rsidR="00E52071" w:rsidRPr="00315ACF" w:rsidRDefault="00E52071" w:rsidP="00A12957">
            <w:r w:rsidRPr="00315ACF">
              <w:t>ИБС, сердечная недостаточность, другие «серьёзные» заболевания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014CA" w14:textId="77777777" w:rsidR="00E52071" w:rsidRPr="00315ACF" w:rsidRDefault="00E52071" w:rsidP="00A12957">
            <w:r w:rsidRPr="00315ACF">
              <w:t>Почечная, печёночная недостаточность, диссеминированные злокачественные опухоли</w:t>
            </w:r>
          </w:p>
        </w:tc>
      </w:tr>
      <w:tr w:rsidR="00E52071" w:rsidRPr="00FC5376" w14:paraId="315874BC" w14:textId="77777777" w:rsidTr="00A1295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927A432" w14:textId="77777777" w:rsidR="00E52071" w:rsidRPr="00315ACF" w:rsidRDefault="00E52071" w:rsidP="00A12957">
            <w:r w:rsidRPr="00315ACF">
              <w:t>Диагноз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2C3D7" w14:textId="77777777" w:rsidR="00E52071" w:rsidRPr="00315ACF" w:rsidRDefault="00E52071" w:rsidP="00A12957">
            <w:r w:rsidRPr="00315ACF">
              <w:t xml:space="preserve">Син </w:t>
            </w:r>
            <w:proofErr w:type="spellStart"/>
            <w:r w:rsidRPr="00315ACF">
              <w:t>Меллори-Вейсса</w:t>
            </w:r>
            <w:proofErr w:type="spellEnd"/>
            <w:r w:rsidRPr="00315ACF">
              <w:t xml:space="preserve"> или отсутствие поражений и стигм ЖКК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FF95B" w14:textId="77777777" w:rsidR="00E52071" w:rsidRPr="00315ACF" w:rsidRDefault="00E52071" w:rsidP="00A12957">
            <w:r w:rsidRPr="00315ACF">
              <w:t>Все другие диагнозы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DE144" w14:textId="77777777" w:rsidR="00E52071" w:rsidRPr="00315ACF" w:rsidRDefault="00E52071" w:rsidP="00A12957">
            <w:r w:rsidRPr="00315ACF">
              <w:t>Злокачественные опухоли ВОПТ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7B2EF" w14:textId="77777777" w:rsidR="00E52071" w:rsidRPr="00315ACF" w:rsidRDefault="00E52071" w:rsidP="00A12957">
            <w:r w:rsidRPr="00315ACF">
              <w:t>–</w:t>
            </w:r>
          </w:p>
        </w:tc>
      </w:tr>
      <w:tr w:rsidR="00E52071" w:rsidRPr="00FC5376" w14:paraId="7D40AEF4" w14:textId="77777777" w:rsidTr="00A1295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831814" w14:textId="77777777" w:rsidR="00E52071" w:rsidRPr="00315ACF" w:rsidRDefault="00E52071" w:rsidP="00A12957">
            <w:r w:rsidRPr="00315ACF">
              <w:t>Стигмы недавно перенесенного ЖКК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F918E" w14:textId="77777777" w:rsidR="00E52071" w:rsidRPr="00315ACF" w:rsidRDefault="00E52071" w:rsidP="00A12957">
            <w:r w:rsidRPr="00315ACF">
              <w:t>Отсутствуют или тёмные пятна в дне язвы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FC9B5" w14:textId="77777777" w:rsidR="00E52071" w:rsidRPr="00315ACF" w:rsidRDefault="00E52071" w:rsidP="00A12957">
            <w:r w:rsidRPr="00315ACF"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9E56A" w14:textId="77777777" w:rsidR="00E52071" w:rsidRPr="00315ACF" w:rsidRDefault="00E52071" w:rsidP="00A12957">
            <w:r w:rsidRPr="00315ACF">
              <w:t>Кровь в ВОПТ, фиксированный сгусток, видимый сосуд или струйное кровотечение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30A58" w14:textId="77777777" w:rsidR="00E52071" w:rsidRPr="00315ACF" w:rsidRDefault="00E52071" w:rsidP="00A12957">
            <w:r w:rsidRPr="00315ACF">
              <w:t>–</w:t>
            </w:r>
          </w:p>
        </w:tc>
      </w:tr>
    </w:tbl>
    <w:p w14:paraId="3584B071" w14:textId="77777777" w:rsidR="00E52071" w:rsidRDefault="00E52071" w:rsidP="00E52071">
      <w:pPr>
        <w:rPr>
          <w:lang w:val="en-US"/>
        </w:rPr>
      </w:pPr>
    </w:p>
    <w:p w14:paraId="3E71A4CF" w14:textId="77777777" w:rsidR="00E52071" w:rsidRPr="006F7A3D" w:rsidRDefault="00E52071" w:rsidP="00E52071">
      <w:pPr>
        <w:spacing w:line="360" w:lineRule="auto"/>
      </w:pPr>
      <w:r w:rsidRPr="006F7A3D">
        <w:rPr>
          <w:b/>
        </w:rPr>
        <w:t>Ключ</w:t>
      </w:r>
      <w:r w:rsidRPr="001E78C0">
        <w:rPr>
          <w:b/>
          <w:bCs/>
        </w:rPr>
        <w:t xml:space="preserve"> (интерпретация)</w:t>
      </w:r>
      <w:r w:rsidRPr="006F7A3D">
        <w:rPr>
          <w:b/>
        </w:rPr>
        <w:t>:</w:t>
      </w:r>
      <w:r w:rsidRPr="005B3133">
        <w:rPr>
          <w:b/>
        </w:rPr>
        <w:t xml:space="preserve"> </w:t>
      </w:r>
      <w:r w:rsidRPr="006F7A3D">
        <w:t xml:space="preserve">Система оценки риска рецидива желудочно-кишечного кровотечения и вероятности летального исхода у больных с кровотечением из ВОПТ. </w:t>
      </w:r>
    </w:p>
    <w:p w14:paraId="28CC7729" w14:textId="77777777" w:rsidR="00E52071" w:rsidRPr="006F7A3D" w:rsidRDefault="00E52071" w:rsidP="00E52071">
      <w:pPr>
        <w:spacing w:line="360" w:lineRule="auto"/>
      </w:pPr>
      <w:r w:rsidRPr="006F7A3D">
        <w:t xml:space="preserve">Оценка суммарного балла: </w:t>
      </w:r>
    </w:p>
    <w:p w14:paraId="47043131" w14:textId="77777777" w:rsidR="00E52071" w:rsidRPr="006F7A3D" w:rsidRDefault="00E52071" w:rsidP="00E52071">
      <w:pPr>
        <w:spacing w:line="360" w:lineRule="auto"/>
      </w:pPr>
      <w:r w:rsidRPr="006F7A3D">
        <w:lastRenderedPageBreak/>
        <w:t xml:space="preserve">0–2: минимальный риск рецидива &lt;6%, летальность &lt;2%. </w:t>
      </w:r>
    </w:p>
    <w:p w14:paraId="06E001B7" w14:textId="77777777" w:rsidR="00E52071" w:rsidRPr="006F7A3D" w:rsidRDefault="00E52071" w:rsidP="00E52071">
      <w:pPr>
        <w:spacing w:line="360" w:lineRule="auto"/>
      </w:pPr>
      <w:r w:rsidRPr="006F7A3D">
        <w:t xml:space="preserve">3–7: высокий риск рецидива &lt;40%, летальность &lt;40%. </w:t>
      </w:r>
    </w:p>
    <w:p w14:paraId="5AAE85F2" w14:textId="77777777" w:rsidR="00E52071" w:rsidRPr="00DD743F" w:rsidRDefault="00E52071" w:rsidP="00E52071">
      <w:pPr>
        <w:spacing w:line="360" w:lineRule="auto"/>
      </w:pPr>
      <w:r w:rsidRPr="006F7A3D">
        <w:t>≥ 8: больные в критическом состоянии, риск рецидива ≥ 40%, летальность ≥40%.</w:t>
      </w:r>
    </w:p>
    <w:p w14:paraId="74558527" w14:textId="77777777" w:rsidR="00E52071" w:rsidRPr="00942BC0" w:rsidRDefault="00E52071" w:rsidP="00E52071">
      <w:pPr>
        <w:pStyle w:val="a"/>
        <w:numPr>
          <w:ilvl w:val="0"/>
          <w:numId w:val="0"/>
        </w:numPr>
        <w:rPr>
          <w:lang w:val="en-US"/>
        </w:rPr>
      </w:pPr>
      <w:r>
        <w:rPr>
          <w:b/>
          <w:bCs/>
        </w:rPr>
        <w:t>Пояснения</w:t>
      </w:r>
      <w:r w:rsidRPr="00942BC0">
        <w:rPr>
          <w:b/>
          <w:bCs/>
        </w:rPr>
        <w:t xml:space="preserve">: </w:t>
      </w:r>
      <w:r>
        <w:t>не требуются</w:t>
      </w:r>
    </w:p>
    <w:p w14:paraId="0FE22D1F" w14:textId="77777777" w:rsidR="00E52071" w:rsidRPr="005B3133" w:rsidRDefault="00E52071" w:rsidP="00E52071">
      <w:pPr>
        <w:spacing w:line="360" w:lineRule="auto"/>
        <w:rPr>
          <w:lang w:val="en-US"/>
        </w:rPr>
      </w:pPr>
    </w:p>
    <w:p w14:paraId="72E9ACCA" w14:textId="77777777" w:rsidR="00E52071" w:rsidRPr="006F7A3D" w:rsidRDefault="00E52071" w:rsidP="00E52071">
      <w:pPr>
        <w:spacing w:line="360" w:lineRule="auto"/>
      </w:pPr>
      <w:r>
        <w:br w:type="page"/>
      </w:r>
    </w:p>
    <w:p w14:paraId="0996B9DF" w14:textId="77777777" w:rsidR="00E52071" w:rsidRDefault="00E52071" w:rsidP="00E52071">
      <w:pPr>
        <w:spacing w:line="360" w:lineRule="auto"/>
      </w:pPr>
      <w:r>
        <w:lastRenderedPageBreak/>
        <w:br w:type="page"/>
      </w:r>
    </w:p>
    <w:p w14:paraId="7665567B" w14:textId="77777777" w:rsidR="00E52071" w:rsidRPr="00E52071" w:rsidRDefault="00F52CFD" w:rsidP="00E52071">
      <w:pPr>
        <w:rPr>
          <w:rFonts w:eastAsia="Sans" w:cstheme="minorBidi"/>
          <w:b/>
          <w:sz w:val="28"/>
          <w:szCs w:val="22"/>
          <w:lang w:eastAsia="en-US"/>
        </w:rPr>
      </w:pPr>
      <w:bookmarkStart w:id="143" w:name="__RefHeading___doc_g"/>
      <w:bookmarkStart w:id="144" w:name="_Toc26477714"/>
      <w:bookmarkStart w:id="145" w:name="_Toc16510491"/>
      <w:r>
        <w:lastRenderedPageBreak/>
        <w:br w:type="page"/>
      </w:r>
    </w:p>
    <w:p w14:paraId="28B3AEE9" w14:textId="77777777" w:rsidR="00E52071" w:rsidRDefault="00E52071" w:rsidP="006E4BFD">
      <w:pPr>
        <w:pStyle w:val="afb"/>
        <w:spacing w:line="360" w:lineRule="auto"/>
        <w:jc w:val="both"/>
        <w:rPr>
          <w:rFonts w:cs="Times New Roman"/>
          <w:sz w:val="24"/>
          <w:szCs w:val="24"/>
        </w:rPr>
      </w:pPr>
    </w:p>
    <w:p w14:paraId="1049EECC" w14:textId="77777777" w:rsidR="00E52071" w:rsidRDefault="00E52071" w:rsidP="006E4BFD">
      <w:pPr>
        <w:pStyle w:val="afb"/>
        <w:spacing w:line="360" w:lineRule="auto"/>
        <w:jc w:val="both"/>
        <w:rPr>
          <w:rFonts w:cs="Times New Roman"/>
          <w:sz w:val="24"/>
          <w:szCs w:val="24"/>
        </w:rPr>
      </w:pPr>
    </w:p>
    <w:p w14:paraId="7F5ACCE4" w14:textId="77777777" w:rsidR="00E52071" w:rsidRDefault="00E52071" w:rsidP="006E4BFD">
      <w:pPr>
        <w:pStyle w:val="afb"/>
        <w:spacing w:line="360" w:lineRule="auto"/>
        <w:jc w:val="both"/>
        <w:rPr>
          <w:rFonts w:cs="Times New Roman"/>
          <w:sz w:val="24"/>
          <w:szCs w:val="24"/>
        </w:rPr>
      </w:pPr>
    </w:p>
    <w:bookmarkEnd w:id="143"/>
    <w:bookmarkEnd w:id="144"/>
    <w:bookmarkEnd w:id="145"/>
    <w:p w14:paraId="59733D4A" w14:textId="77777777" w:rsidR="00E52071" w:rsidRDefault="00E52071" w:rsidP="006E4BFD">
      <w:pPr>
        <w:pStyle w:val="afb"/>
        <w:spacing w:line="360" w:lineRule="auto"/>
        <w:jc w:val="both"/>
        <w:rPr>
          <w:rFonts w:cs="Times New Roman"/>
          <w:sz w:val="24"/>
          <w:szCs w:val="24"/>
        </w:rPr>
      </w:pPr>
    </w:p>
    <w:sectPr w:rsidR="00E52071" w:rsidSect="00A4052B">
      <w:headerReference w:type="even" r:id="rId14"/>
      <w:headerReference w:type="default" r:id="rId15"/>
      <w:footerReference w:type="default" r:id="rId16"/>
      <w:pgSz w:w="11906" w:h="16838"/>
      <w:pgMar w:top="1134" w:right="850" w:bottom="1134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909B" w14:textId="77777777" w:rsidR="00A62D09" w:rsidRDefault="00A62D09">
      <w:r>
        <w:separator/>
      </w:r>
    </w:p>
  </w:endnote>
  <w:endnote w:type="continuationSeparator" w:id="0">
    <w:p w14:paraId="6E564D97" w14:textId="77777777" w:rsidR="00A62D09" w:rsidRDefault="00A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ashovC">
    <w:altName w:val="Cambria"/>
    <w:charset w:val="80"/>
    <w:family w:val="auto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87C4" w14:textId="77777777" w:rsidR="009352B1" w:rsidRDefault="009352B1" w:rsidP="00A12957"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1815CB2" w14:textId="77777777" w:rsidR="009352B1" w:rsidRDefault="009352B1" w:rsidP="00A12957">
    <w:r>
      <w:rPr>
        <w:rFonts w:eastAsia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11BF" w14:textId="77777777" w:rsidR="009352B1" w:rsidRDefault="009352B1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4A5E">
      <w:rPr>
        <w:noProof/>
        <w:color w:val="000000"/>
      </w:rPr>
      <w:t>3</w:t>
    </w:r>
    <w:r>
      <w:rPr>
        <w:color w:val="000000"/>
      </w:rPr>
      <w:fldChar w:fldCharType="end"/>
    </w:r>
  </w:p>
  <w:p w14:paraId="6EC2B0A3" w14:textId="77777777" w:rsidR="009352B1" w:rsidRDefault="009352B1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1C9F" w14:textId="77777777" w:rsidR="00A62D09" w:rsidRDefault="00A62D09">
      <w:r>
        <w:separator/>
      </w:r>
    </w:p>
  </w:footnote>
  <w:footnote w:type="continuationSeparator" w:id="0">
    <w:p w14:paraId="696E4FFE" w14:textId="77777777" w:rsidR="00A62D09" w:rsidRDefault="00A6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2E8A" w14:textId="77777777" w:rsidR="009352B1" w:rsidRDefault="009352B1">
    <w:pP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003AAD" w14:textId="77777777" w:rsidR="009352B1" w:rsidRDefault="009352B1">
    <w:pP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D730" w14:textId="77777777" w:rsidR="009352B1" w:rsidRDefault="009352B1">
    <w:pP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B53"/>
    <w:multiLevelType w:val="hybridMultilevel"/>
    <w:tmpl w:val="EAD6D930"/>
    <w:lvl w:ilvl="0" w:tplc="658AD4BC">
      <w:start w:val="2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6C5"/>
    <w:multiLevelType w:val="hybridMultilevel"/>
    <w:tmpl w:val="512E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4200"/>
    <w:multiLevelType w:val="multilevel"/>
    <w:tmpl w:val="756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C7336"/>
    <w:multiLevelType w:val="hybridMultilevel"/>
    <w:tmpl w:val="091C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67B0C"/>
    <w:multiLevelType w:val="multilevel"/>
    <w:tmpl w:val="29A67B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25C37C2"/>
    <w:multiLevelType w:val="hybridMultilevel"/>
    <w:tmpl w:val="B7A2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10E4"/>
    <w:multiLevelType w:val="multilevel"/>
    <w:tmpl w:val="354D10E4"/>
    <w:lvl w:ilvl="0">
      <w:start w:val="1"/>
      <w:numFmt w:val="bullet"/>
      <w:pStyle w:val="1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5635"/>
    <w:multiLevelType w:val="multilevel"/>
    <w:tmpl w:val="37C6563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753D02"/>
    <w:multiLevelType w:val="multilevel"/>
    <w:tmpl w:val="86D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F3392"/>
    <w:multiLevelType w:val="multilevel"/>
    <w:tmpl w:val="4A4CDD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E14974"/>
    <w:multiLevelType w:val="hybridMultilevel"/>
    <w:tmpl w:val="76D2ECE6"/>
    <w:lvl w:ilvl="0" w:tplc="B1929F96">
      <w:start w:val="1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41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838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0A7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E85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802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0C0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219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2C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E15045"/>
    <w:multiLevelType w:val="multilevel"/>
    <w:tmpl w:val="7CE613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01852"/>
    <w:multiLevelType w:val="multilevel"/>
    <w:tmpl w:val="667018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D0490"/>
    <w:multiLevelType w:val="hybridMultilevel"/>
    <w:tmpl w:val="1E54BFB2"/>
    <w:lvl w:ilvl="0" w:tplc="96027340">
      <w:start w:val="1"/>
      <w:numFmt w:val="bullet"/>
      <w:pStyle w:val="a"/>
      <w:lvlText w:val=""/>
      <w:lvlJc w:val="left"/>
      <w:pPr>
        <w:ind w:left="64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A6FF6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845AE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6692E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CE870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4CB40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E9F70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2DFCE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0310C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8C"/>
    <w:rsid w:val="000022F5"/>
    <w:rsid w:val="00004AA7"/>
    <w:rsid w:val="00004E56"/>
    <w:rsid w:val="00005553"/>
    <w:rsid w:val="000059FE"/>
    <w:rsid w:val="000070F6"/>
    <w:rsid w:val="000074A2"/>
    <w:rsid w:val="00010232"/>
    <w:rsid w:val="000103B2"/>
    <w:rsid w:val="000110AD"/>
    <w:rsid w:val="00013D7C"/>
    <w:rsid w:val="0001688D"/>
    <w:rsid w:val="000201F3"/>
    <w:rsid w:val="00020712"/>
    <w:rsid w:val="00023DA7"/>
    <w:rsid w:val="00023EAF"/>
    <w:rsid w:val="00023FBA"/>
    <w:rsid w:val="00024EC4"/>
    <w:rsid w:val="00025604"/>
    <w:rsid w:val="00026F56"/>
    <w:rsid w:val="0003061A"/>
    <w:rsid w:val="000321DF"/>
    <w:rsid w:val="00032DA7"/>
    <w:rsid w:val="00034393"/>
    <w:rsid w:val="000348A1"/>
    <w:rsid w:val="000366FA"/>
    <w:rsid w:val="000440CA"/>
    <w:rsid w:val="0004466F"/>
    <w:rsid w:val="00044C5D"/>
    <w:rsid w:val="000457F0"/>
    <w:rsid w:val="00046869"/>
    <w:rsid w:val="0004772B"/>
    <w:rsid w:val="00047DA6"/>
    <w:rsid w:val="00050374"/>
    <w:rsid w:val="00055751"/>
    <w:rsid w:val="00057187"/>
    <w:rsid w:val="000618F2"/>
    <w:rsid w:val="00061930"/>
    <w:rsid w:val="000631EE"/>
    <w:rsid w:val="0006497D"/>
    <w:rsid w:val="0007083D"/>
    <w:rsid w:val="0007380F"/>
    <w:rsid w:val="00073B8F"/>
    <w:rsid w:val="00074DED"/>
    <w:rsid w:val="00076203"/>
    <w:rsid w:val="00076A20"/>
    <w:rsid w:val="0008092A"/>
    <w:rsid w:val="000816CC"/>
    <w:rsid w:val="00081E85"/>
    <w:rsid w:val="000843F2"/>
    <w:rsid w:val="00090EB8"/>
    <w:rsid w:val="00093074"/>
    <w:rsid w:val="00093827"/>
    <w:rsid w:val="00096333"/>
    <w:rsid w:val="000969A7"/>
    <w:rsid w:val="000976DA"/>
    <w:rsid w:val="000A067B"/>
    <w:rsid w:val="000A2F9C"/>
    <w:rsid w:val="000A5784"/>
    <w:rsid w:val="000A5A4D"/>
    <w:rsid w:val="000B3C6E"/>
    <w:rsid w:val="000B3EDE"/>
    <w:rsid w:val="000B4CAF"/>
    <w:rsid w:val="000B5DE0"/>
    <w:rsid w:val="000C0A01"/>
    <w:rsid w:val="000C2452"/>
    <w:rsid w:val="000C3A98"/>
    <w:rsid w:val="000C5530"/>
    <w:rsid w:val="000C5A8F"/>
    <w:rsid w:val="000D0CA3"/>
    <w:rsid w:val="000D0F34"/>
    <w:rsid w:val="000D22AB"/>
    <w:rsid w:val="000D3E64"/>
    <w:rsid w:val="000D400B"/>
    <w:rsid w:val="000D448E"/>
    <w:rsid w:val="000D4B19"/>
    <w:rsid w:val="000D4B71"/>
    <w:rsid w:val="000D5A19"/>
    <w:rsid w:val="000E106C"/>
    <w:rsid w:val="000E153F"/>
    <w:rsid w:val="000E3CC4"/>
    <w:rsid w:val="000E5200"/>
    <w:rsid w:val="000F351E"/>
    <w:rsid w:val="000F3BB2"/>
    <w:rsid w:val="000F3C9B"/>
    <w:rsid w:val="000F4832"/>
    <w:rsid w:val="000F5423"/>
    <w:rsid w:val="00100313"/>
    <w:rsid w:val="00100973"/>
    <w:rsid w:val="00100B4E"/>
    <w:rsid w:val="00104464"/>
    <w:rsid w:val="00110005"/>
    <w:rsid w:val="00110326"/>
    <w:rsid w:val="00110E46"/>
    <w:rsid w:val="001119DD"/>
    <w:rsid w:val="001123E1"/>
    <w:rsid w:val="00112C60"/>
    <w:rsid w:val="00115428"/>
    <w:rsid w:val="00117D3D"/>
    <w:rsid w:val="00120F13"/>
    <w:rsid w:val="00121C51"/>
    <w:rsid w:val="001223A8"/>
    <w:rsid w:val="00123D7B"/>
    <w:rsid w:val="00127BCC"/>
    <w:rsid w:val="0013392D"/>
    <w:rsid w:val="00133A3D"/>
    <w:rsid w:val="001377BD"/>
    <w:rsid w:val="00140787"/>
    <w:rsid w:val="0014086F"/>
    <w:rsid w:val="001427A8"/>
    <w:rsid w:val="00143277"/>
    <w:rsid w:val="00143A5E"/>
    <w:rsid w:val="00146EC7"/>
    <w:rsid w:val="00157AA9"/>
    <w:rsid w:val="00157D34"/>
    <w:rsid w:val="00162414"/>
    <w:rsid w:val="00164890"/>
    <w:rsid w:val="00166E43"/>
    <w:rsid w:val="001721A8"/>
    <w:rsid w:val="001733C0"/>
    <w:rsid w:val="001738B0"/>
    <w:rsid w:val="001740F0"/>
    <w:rsid w:val="00174CBA"/>
    <w:rsid w:val="00175816"/>
    <w:rsid w:val="00176169"/>
    <w:rsid w:val="00176644"/>
    <w:rsid w:val="00176EA6"/>
    <w:rsid w:val="00180CFA"/>
    <w:rsid w:val="0018388E"/>
    <w:rsid w:val="0018642E"/>
    <w:rsid w:val="00187198"/>
    <w:rsid w:val="00187FFE"/>
    <w:rsid w:val="00191DEE"/>
    <w:rsid w:val="0019266E"/>
    <w:rsid w:val="001936E9"/>
    <w:rsid w:val="00193A6B"/>
    <w:rsid w:val="00194FF8"/>
    <w:rsid w:val="00195870"/>
    <w:rsid w:val="001A1BD0"/>
    <w:rsid w:val="001A1E8C"/>
    <w:rsid w:val="001A2781"/>
    <w:rsid w:val="001A34BB"/>
    <w:rsid w:val="001A365D"/>
    <w:rsid w:val="001A6F4E"/>
    <w:rsid w:val="001A74EE"/>
    <w:rsid w:val="001B04B0"/>
    <w:rsid w:val="001B0C2A"/>
    <w:rsid w:val="001B0F52"/>
    <w:rsid w:val="001B13F9"/>
    <w:rsid w:val="001B3743"/>
    <w:rsid w:val="001B4121"/>
    <w:rsid w:val="001B45DC"/>
    <w:rsid w:val="001B4A60"/>
    <w:rsid w:val="001B5ACF"/>
    <w:rsid w:val="001B7BCD"/>
    <w:rsid w:val="001B7FC6"/>
    <w:rsid w:val="001C1BD1"/>
    <w:rsid w:val="001C619A"/>
    <w:rsid w:val="001C78A9"/>
    <w:rsid w:val="001D1520"/>
    <w:rsid w:val="001D1521"/>
    <w:rsid w:val="001D220B"/>
    <w:rsid w:val="001D4A5E"/>
    <w:rsid w:val="001D51EE"/>
    <w:rsid w:val="001D5F7A"/>
    <w:rsid w:val="001E14C3"/>
    <w:rsid w:val="001E1817"/>
    <w:rsid w:val="001E1F18"/>
    <w:rsid w:val="001E59C4"/>
    <w:rsid w:val="001F0C90"/>
    <w:rsid w:val="001F1105"/>
    <w:rsid w:val="001F1211"/>
    <w:rsid w:val="001F2087"/>
    <w:rsid w:val="001F2D2B"/>
    <w:rsid w:val="001F70A9"/>
    <w:rsid w:val="002021A1"/>
    <w:rsid w:val="0020617C"/>
    <w:rsid w:val="00206B2C"/>
    <w:rsid w:val="00207316"/>
    <w:rsid w:val="002100FB"/>
    <w:rsid w:val="00210646"/>
    <w:rsid w:val="00211767"/>
    <w:rsid w:val="00212E30"/>
    <w:rsid w:val="00215B4D"/>
    <w:rsid w:val="002204AF"/>
    <w:rsid w:val="0022095B"/>
    <w:rsid w:val="00222D30"/>
    <w:rsid w:val="0022354D"/>
    <w:rsid w:val="00223BEF"/>
    <w:rsid w:val="002247F6"/>
    <w:rsid w:val="002255BF"/>
    <w:rsid w:val="00227E26"/>
    <w:rsid w:val="002300BA"/>
    <w:rsid w:val="00230789"/>
    <w:rsid w:val="00230975"/>
    <w:rsid w:val="00230DDD"/>
    <w:rsid w:val="00230FA4"/>
    <w:rsid w:val="002322BB"/>
    <w:rsid w:val="00235EF0"/>
    <w:rsid w:val="00236C79"/>
    <w:rsid w:val="002373A6"/>
    <w:rsid w:val="002374CD"/>
    <w:rsid w:val="00240242"/>
    <w:rsid w:val="00241656"/>
    <w:rsid w:val="0024378A"/>
    <w:rsid w:val="002469D0"/>
    <w:rsid w:val="00246D6E"/>
    <w:rsid w:val="00246F75"/>
    <w:rsid w:val="00251552"/>
    <w:rsid w:val="002523A9"/>
    <w:rsid w:val="00252C18"/>
    <w:rsid w:val="00255662"/>
    <w:rsid w:val="00255F2E"/>
    <w:rsid w:val="00256621"/>
    <w:rsid w:val="00260098"/>
    <w:rsid w:val="00260207"/>
    <w:rsid w:val="00260E2A"/>
    <w:rsid w:val="00270369"/>
    <w:rsid w:val="00270FDC"/>
    <w:rsid w:val="00271129"/>
    <w:rsid w:val="0027129C"/>
    <w:rsid w:val="00274205"/>
    <w:rsid w:val="00276E5F"/>
    <w:rsid w:val="002830CA"/>
    <w:rsid w:val="0028412A"/>
    <w:rsid w:val="0028567E"/>
    <w:rsid w:val="002873A7"/>
    <w:rsid w:val="00287A28"/>
    <w:rsid w:val="00287DCA"/>
    <w:rsid w:val="00291A6D"/>
    <w:rsid w:val="002927FC"/>
    <w:rsid w:val="00292B4F"/>
    <w:rsid w:val="002941BD"/>
    <w:rsid w:val="002A3351"/>
    <w:rsid w:val="002B071F"/>
    <w:rsid w:val="002B2004"/>
    <w:rsid w:val="002B5CB2"/>
    <w:rsid w:val="002C0C9D"/>
    <w:rsid w:val="002C1B90"/>
    <w:rsid w:val="002C29E1"/>
    <w:rsid w:val="002C4B6C"/>
    <w:rsid w:val="002C70DB"/>
    <w:rsid w:val="002C725B"/>
    <w:rsid w:val="002C78CA"/>
    <w:rsid w:val="002C7938"/>
    <w:rsid w:val="002C7C98"/>
    <w:rsid w:val="002C7E84"/>
    <w:rsid w:val="002D00DF"/>
    <w:rsid w:val="002D2036"/>
    <w:rsid w:val="002D3553"/>
    <w:rsid w:val="002D51C4"/>
    <w:rsid w:val="002D5260"/>
    <w:rsid w:val="002D5E03"/>
    <w:rsid w:val="002E0795"/>
    <w:rsid w:val="002E0D33"/>
    <w:rsid w:val="002E1EEC"/>
    <w:rsid w:val="002E3C6A"/>
    <w:rsid w:val="002E4BCC"/>
    <w:rsid w:val="002E4C1A"/>
    <w:rsid w:val="002E6697"/>
    <w:rsid w:val="002F05CC"/>
    <w:rsid w:val="002F06DD"/>
    <w:rsid w:val="002F258E"/>
    <w:rsid w:val="002F4478"/>
    <w:rsid w:val="002F49BA"/>
    <w:rsid w:val="002F6020"/>
    <w:rsid w:val="002F622C"/>
    <w:rsid w:val="002F73AB"/>
    <w:rsid w:val="003015E4"/>
    <w:rsid w:val="00301A54"/>
    <w:rsid w:val="0030226C"/>
    <w:rsid w:val="00303E76"/>
    <w:rsid w:val="003051E4"/>
    <w:rsid w:val="00310EDB"/>
    <w:rsid w:val="00310F98"/>
    <w:rsid w:val="003141BF"/>
    <w:rsid w:val="003148FF"/>
    <w:rsid w:val="003167C9"/>
    <w:rsid w:val="0031786A"/>
    <w:rsid w:val="003206AA"/>
    <w:rsid w:val="0032099C"/>
    <w:rsid w:val="0032147F"/>
    <w:rsid w:val="003219C4"/>
    <w:rsid w:val="00322FB9"/>
    <w:rsid w:val="00325611"/>
    <w:rsid w:val="00327020"/>
    <w:rsid w:val="003277C4"/>
    <w:rsid w:val="003311D8"/>
    <w:rsid w:val="00331E78"/>
    <w:rsid w:val="00332398"/>
    <w:rsid w:val="003332A3"/>
    <w:rsid w:val="003341CD"/>
    <w:rsid w:val="003426D5"/>
    <w:rsid w:val="00343777"/>
    <w:rsid w:val="00343DF4"/>
    <w:rsid w:val="003448DB"/>
    <w:rsid w:val="00347EED"/>
    <w:rsid w:val="00352C0B"/>
    <w:rsid w:val="00355FEB"/>
    <w:rsid w:val="00357B1C"/>
    <w:rsid w:val="003624D6"/>
    <w:rsid w:val="0036296A"/>
    <w:rsid w:val="0036548A"/>
    <w:rsid w:val="00367765"/>
    <w:rsid w:val="00367A23"/>
    <w:rsid w:val="00372A2C"/>
    <w:rsid w:val="0037456C"/>
    <w:rsid w:val="003779C2"/>
    <w:rsid w:val="00381151"/>
    <w:rsid w:val="00383C1E"/>
    <w:rsid w:val="003904E9"/>
    <w:rsid w:val="00390D30"/>
    <w:rsid w:val="00393B72"/>
    <w:rsid w:val="00397422"/>
    <w:rsid w:val="003A15DD"/>
    <w:rsid w:val="003A2C14"/>
    <w:rsid w:val="003A3C84"/>
    <w:rsid w:val="003A3EC4"/>
    <w:rsid w:val="003A4BFA"/>
    <w:rsid w:val="003A5B5C"/>
    <w:rsid w:val="003A67E3"/>
    <w:rsid w:val="003B0B7F"/>
    <w:rsid w:val="003B14DF"/>
    <w:rsid w:val="003B17E8"/>
    <w:rsid w:val="003B6FF2"/>
    <w:rsid w:val="003B76F5"/>
    <w:rsid w:val="003C0B9E"/>
    <w:rsid w:val="003C146F"/>
    <w:rsid w:val="003C163D"/>
    <w:rsid w:val="003C4F2C"/>
    <w:rsid w:val="003C68FD"/>
    <w:rsid w:val="003D38AE"/>
    <w:rsid w:val="003D63BE"/>
    <w:rsid w:val="003D762B"/>
    <w:rsid w:val="003E002B"/>
    <w:rsid w:val="003E1445"/>
    <w:rsid w:val="003E3321"/>
    <w:rsid w:val="003E3AE4"/>
    <w:rsid w:val="003E5301"/>
    <w:rsid w:val="003E5602"/>
    <w:rsid w:val="003E5C0F"/>
    <w:rsid w:val="003E5FA7"/>
    <w:rsid w:val="003F0A06"/>
    <w:rsid w:val="003F0F9F"/>
    <w:rsid w:val="003F15CB"/>
    <w:rsid w:val="003F2E3F"/>
    <w:rsid w:val="003F42AE"/>
    <w:rsid w:val="003F5AFC"/>
    <w:rsid w:val="003F6E72"/>
    <w:rsid w:val="003F727B"/>
    <w:rsid w:val="003F7BBB"/>
    <w:rsid w:val="00400543"/>
    <w:rsid w:val="00401AC7"/>
    <w:rsid w:val="00402C6C"/>
    <w:rsid w:val="004053C9"/>
    <w:rsid w:val="00407CBC"/>
    <w:rsid w:val="00407FCE"/>
    <w:rsid w:val="004104E4"/>
    <w:rsid w:val="004110BB"/>
    <w:rsid w:val="0041576B"/>
    <w:rsid w:val="0041706F"/>
    <w:rsid w:val="004209A0"/>
    <w:rsid w:val="0042176E"/>
    <w:rsid w:val="00421821"/>
    <w:rsid w:val="00425BE6"/>
    <w:rsid w:val="0042695E"/>
    <w:rsid w:val="00427B51"/>
    <w:rsid w:val="00432BCD"/>
    <w:rsid w:val="0043750C"/>
    <w:rsid w:val="004378ED"/>
    <w:rsid w:val="00437E1B"/>
    <w:rsid w:val="00444519"/>
    <w:rsid w:val="00446F13"/>
    <w:rsid w:val="0044786F"/>
    <w:rsid w:val="004505E8"/>
    <w:rsid w:val="00452986"/>
    <w:rsid w:val="0045483A"/>
    <w:rsid w:val="0045569D"/>
    <w:rsid w:val="00456CA6"/>
    <w:rsid w:val="00457483"/>
    <w:rsid w:val="0046189E"/>
    <w:rsid w:val="00463A29"/>
    <w:rsid w:val="00463B17"/>
    <w:rsid w:val="00464623"/>
    <w:rsid w:val="00464AFD"/>
    <w:rsid w:val="0046593D"/>
    <w:rsid w:val="00467A3C"/>
    <w:rsid w:val="0047131D"/>
    <w:rsid w:val="0047275E"/>
    <w:rsid w:val="00472921"/>
    <w:rsid w:val="00472C01"/>
    <w:rsid w:val="00474A5E"/>
    <w:rsid w:val="00474EB0"/>
    <w:rsid w:val="0048190F"/>
    <w:rsid w:val="00481D82"/>
    <w:rsid w:val="0048251D"/>
    <w:rsid w:val="00482B6A"/>
    <w:rsid w:val="00483313"/>
    <w:rsid w:val="00483725"/>
    <w:rsid w:val="00483D57"/>
    <w:rsid w:val="0048401B"/>
    <w:rsid w:val="004858F0"/>
    <w:rsid w:val="004902C2"/>
    <w:rsid w:val="00490C31"/>
    <w:rsid w:val="004919A5"/>
    <w:rsid w:val="00492E82"/>
    <w:rsid w:val="004939B4"/>
    <w:rsid w:val="00493A8C"/>
    <w:rsid w:val="00493C00"/>
    <w:rsid w:val="004941FE"/>
    <w:rsid w:val="00497E99"/>
    <w:rsid w:val="004A08F2"/>
    <w:rsid w:val="004A0BAA"/>
    <w:rsid w:val="004A2C08"/>
    <w:rsid w:val="004A2F90"/>
    <w:rsid w:val="004A3011"/>
    <w:rsid w:val="004A3960"/>
    <w:rsid w:val="004A58E2"/>
    <w:rsid w:val="004A69FF"/>
    <w:rsid w:val="004A7914"/>
    <w:rsid w:val="004A7EBA"/>
    <w:rsid w:val="004B0651"/>
    <w:rsid w:val="004B3D19"/>
    <w:rsid w:val="004B4F0A"/>
    <w:rsid w:val="004B5AAF"/>
    <w:rsid w:val="004B6BF0"/>
    <w:rsid w:val="004B730E"/>
    <w:rsid w:val="004C0285"/>
    <w:rsid w:val="004C1BDE"/>
    <w:rsid w:val="004C4DB3"/>
    <w:rsid w:val="004C585E"/>
    <w:rsid w:val="004C5A73"/>
    <w:rsid w:val="004C67E2"/>
    <w:rsid w:val="004C6A07"/>
    <w:rsid w:val="004C7403"/>
    <w:rsid w:val="004D0650"/>
    <w:rsid w:val="004D1462"/>
    <w:rsid w:val="004D1646"/>
    <w:rsid w:val="004D29B5"/>
    <w:rsid w:val="004D339F"/>
    <w:rsid w:val="004D41C2"/>
    <w:rsid w:val="004D4B0F"/>
    <w:rsid w:val="004D5333"/>
    <w:rsid w:val="004D587D"/>
    <w:rsid w:val="004D632A"/>
    <w:rsid w:val="004D64EE"/>
    <w:rsid w:val="004E1AF3"/>
    <w:rsid w:val="004E1B88"/>
    <w:rsid w:val="004E2B0A"/>
    <w:rsid w:val="004E4307"/>
    <w:rsid w:val="004E4951"/>
    <w:rsid w:val="004E58D3"/>
    <w:rsid w:val="004E5C4D"/>
    <w:rsid w:val="004E6248"/>
    <w:rsid w:val="004E6C89"/>
    <w:rsid w:val="004F017C"/>
    <w:rsid w:val="004F09BE"/>
    <w:rsid w:val="004F1AA0"/>
    <w:rsid w:val="004F25CF"/>
    <w:rsid w:val="004F30D9"/>
    <w:rsid w:val="004F537E"/>
    <w:rsid w:val="004F5653"/>
    <w:rsid w:val="004F59C9"/>
    <w:rsid w:val="00500638"/>
    <w:rsid w:val="00500947"/>
    <w:rsid w:val="00500EB4"/>
    <w:rsid w:val="005011F8"/>
    <w:rsid w:val="00503FE6"/>
    <w:rsid w:val="005049A7"/>
    <w:rsid w:val="00505836"/>
    <w:rsid w:val="00505D0F"/>
    <w:rsid w:val="00505D94"/>
    <w:rsid w:val="00506492"/>
    <w:rsid w:val="00506EB6"/>
    <w:rsid w:val="005079AC"/>
    <w:rsid w:val="005105B2"/>
    <w:rsid w:val="005106DD"/>
    <w:rsid w:val="00512204"/>
    <w:rsid w:val="005122E8"/>
    <w:rsid w:val="00514DFD"/>
    <w:rsid w:val="005151D7"/>
    <w:rsid w:val="00516A5E"/>
    <w:rsid w:val="00517F04"/>
    <w:rsid w:val="00520575"/>
    <w:rsid w:val="00521512"/>
    <w:rsid w:val="005250EB"/>
    <w:rsid w:val="005252D0"/>
    <w:rsid w:val="00525943"/>
    <w:rsid w:val="005260E1"/>
    <w:rsid w:val="00526EAD"/>
    <w:rsid w:val="00527FB2"/>
    <w:rsid w:val="00530725"/>
    <w:rsid w:val="005318A3"/>
    <w:rsid w:val="0053195A"/>
    <w:rsid w:val="0053224F"/>
    <w:rsid w:val="0053272C"/>
    <w:rsid w:val="005346AD"/>
    <w:rsid w:val="005355FA"/>
    <w:rsid w:val="00535CD8"/>
    <w:rsid w:val="00536D0D"/>
    <w:rsid w:val="00540EBB"/>
    <w:rsid w:val="0054190B"/>
    <w:rsid w:val="00542F6E"/>
    <w:rsid w:val="00543DCB"/>
    <w:rsid w:val="00550ADC"/>
    <w:rsid w:val="00551FD5"/>
    <w:rsid w:val="00552BA8"/>
    <w:rsid w:val="00553968"/>
    <w:rsid w:val="00557701"/>
    <w:rsid w:val="005628A1"/>
    <w:rsid w:val="005638C2"/>
    <w:rsid w:val="00563C11"/>
    <w:rsid w:val="00565035"/>
    <w:rsid w:val="005658C1"/>
    <w:rsid w:val="00565D4B"/>
    <w:rsid w:val="0056699F"/>
    <w:rsid w:val="00567B8D"/>
    <w:rsid w:val="00570A04"/>
    <w:rsid w:val="00570F0A"/>
    <w:rsid w:val="00572772"/>
    <w:rsid w:val="00572D5D"/>
    <w:rsid w:val="00573E52"/>
    <w:rsid w:val="00574A87"/>
    <w:rsid w:val="00577044"/>
    <w:rsid w:val="00580A0C"/>
    <w:rsid w:val="00580CC9"/>
    <w:rsid w:val="0058163A"/>
    <w:rsid w:val="00581AC3"/>
    <w:rsid w:val="0058238D"/>
    <w:rsid w:val="00585BB9"/>
    <w:rsid w:val="00591F22"/>
    <w:rsid w:val="00592A34"/>
    <w:rsid w:val="0059312B"/>
    <w:rsid w:val="00594A05"/>
    <w:rsid w:val="005950A1"/>
    <w:rsid w:val="00596795"/>
    <w:rsid w:val="0059773E"/>
    <w:rsid w:val="00597C1C"/>
    <w:rsid w:val="005A1FA2"/>
    <w:rsid w:val="005A3863"/>
    <w:rsid w:val="005A435E"/>
    <w:rsid w:val="005B04BE"/>
    <w:rsid w:val="005B0E52"/>
    <w:rsid w:val="005B34A4"/>
    <w:rsid w:val="005B3651"/>
    <w:rsid w:val="005B46B5"/>
    <w:rsid w:val="005B4931"/>
    <w:rsid w:val="005B5BCA"/>
    <w:rsid w:val="005B6947"/>
    <w:rsid w:val="005B71C9"/>
    <w:rsid w:val="005B7E82"/>
    <w:rsid w:val="005C19ED"/>
    <w:rsid w:val="005C2511"/>
    <w:rsid w:val="005C26FD"/>
    <w:rsid w:val="005C3612"/>
    <w:rsid w:val="005C61A4"/>
    <w:rsid w:val="005C677C"/>
    <w:rsid w:val="005D1E44"/>
    <w:rsid w:val="005D2631"/>
    <w:rsid w:val="005D5843"/>
    <w:rsid w:val="005D594D"/>
    <w:rsid w:val="005D5D3C"/>
    <w:rsid w:val="005D7614"/>
    <w:rsid w:val="005D7EEE"/>
    <w:rsid w:val="005E093C"/>
    <w:rsid w:val="005E0F0A"/>
    <w:rsid w:val="005E10C9"/>
    <w:rsid w:val="005E2E15"/>
    <w:rsid w:val="005E2F37"/>
    <w:rsid w:val="005E438A"/>
    <w:rsid w:val="005E76AD"/>
    <w:rsid w:val="005E797B"/>
    <w:rsid w:val="005F00FE"/>
    <w:rsid w:val="005F09B5"/>
    <w:rsid w:val="005F2756"/>
    <w:rsid w:val="005F2A14"/>
    <w:rsid w:val="005F4332"/>
    <w:rsid w:val="005F5DBB"/>
    <w:rsid w:val="005F6DC0"/>
    <w:rsid w:val="005F7ECC"/>
    <w:rsid w:val="00600B44"/>
    <w:rsid w:val="00600FD5"/>
    <w:rsid w:val="00601251"/>
    <w:rsid w:val="00601495"/>
    <w:rsid w:val="00605C53"/>
    <w:rsid w:val="006073D2"/>
    <w:rsid w:val="0061068C"/>
    <w:rsid w:val="006114CA"/>
    <w:rsid w:val="0061264C"/>
    <w:rsid w:val="0061287D"/>
    <w:rsid w:val="00612FC6"/>
    <w:rsid w:val="006133CC"/>
    <w:rsid w:val="006143BA"/>
    <w:rsid w:val="00616382"/>
    <w:rsid w:val="00623C47"/>
    <w:rsid w:val="006258DB"/>
    <w:rsid w:val="00627D08"/>
    <w:rsid w:val="00631DC7"/>
    <w:rsid w:val="0063329B"/>
    <w:rsid w:val="0063472A"/>
    <w:rsid w:val="00635FAF"/>
    <w:rsid w:val="0063677A"/>
    <w:rsid w:val="00637761"/>
    <w:rsid w:val="00640F2B"/>
    <w:rsid w:val="00642096"/>
    <w:rsid w:val="006448A3"/>
    <w:rsid w:val="00645C31"/>
    <w:rsid w:val="00647EF3"/>
    <w:rsid w:val="00650AB5"/>
    <w:rsid w:val="006527D4"/>
    <w:rsid w:val="00652BE3"/>
    <w:rsid w:val="00656AA8"/>
    <w:rsid w:val="00656B10"/>
    <w:rsid w:val="006571D7"/>
    <w:rsid w:val="0066009A"/>
    <w:rsid w:val="00660598"/>
    <w:rsid w:val="006618CB"/>
    <w:rsid w:val="006641B4"/>
    <w:rsid w:val="006663D9"/>
    <w:rsid w:val="006665AB"/>
    <w:rsid w:val="00667C82"/>
    <w:rsid w:val="00670922"/>
    <w:rsid w:val="00671A94"/>
    <w:rsid w:val="00672403"/>
    <w:rsid w:val="00672660"/>
    <w:rsid w:val="00672EBA"/>
    <w:rsid w:val="00674F8A"/>
    <w:rsid w:val="0067540D"/>
    <w:rsid w:val="00675790"/>
    <w:rsid w:val="00675893"/>
    <w:rsid w:val="006777AC"/>
    <w:rsid w:val="00680566"/>
    <w:rsid w:val="00684E58"/>
    <w:rsid w:val="00686A08"/>
    <w:rsid w:val="006904BA"/>
    <w:rsid w:val="00691FB6"/>
    <w:rsid w:val="00692358"/>
    <w:rsid w:val="00692ED5"/>
    <w:rsid w:val="00693C23"/>
    <w:rsid w:val="00693ED9"/>
    <w:rsid w:val="00694914"/>
    <w:rsid w:val="00695920"/>
    <w:rsid w:val="006977D6"/>
    <w:rsid w:val="006A1CFD"/>
    <w:rsid w:val="006B06AB"/>
    <w:rsid w:val="006B09AB"/>
    <w:rsid w:val="006B0C92"/>
    <w:rsid w:val="006B2415"/>
    <w:rsid w:val="006B28CB"/>
    <w:rsid w:val="006B3A16"/>
    <w:rsid w:val="006B4F78"/>
    <w:rsid w:val="006B5EAF"/>
    <w:rsid w:val="006C1AA6"/>
    <w:rsid w:val="006C21E2"/>
    <w:rsid w:val="006C2442"/>
    <w:rsid w:val="006C4D9F"/>
    <w:rsid w:val="006C5A9E"/>
    <w:rsid w:val="006C687D"/>
    <w:rsid w:val="006D0862"/>
    <w:rsid w:val="006D37CF"/>
    <w:rsid w:val="006D3D4B"/>
    <w:rsid w:val="006D4293"/>
    <w:rsid w:val="006D47A6"/>
    <w:rsid w:val="006D4999"/>
    <w:rsid w:val="006D4B86"/>
    <w:rsid w:val="006D657F"/>
    <w:rsid w:val="006D6629"/>
    <w:rsid w:val="006D7D4A"/>
    <w:rsid w:val="006E15F5"/>
    <w:rsid w:val="006E1687"/>
    <w:rsid w:val="006E2E32"/>
    <w:rsid w:val="006E2FC5"/>
    <w:rsid w:val="006E387D"/>
    <w:rsid w:val="006E3DA2"/>
    <w:rsid w:val="006E4623"/>
    <w:rsid w:val="006E4BFD"/>
    <w:rsid w:val="006E4F67"/>
    <w:rsid w:val="006E53DC"/>
    <w:rsid w:val="006E6110"/>
    <w:rsid w:val="006E703B"/>
    <w:rsid w:val="006F03C4"/>
    <w:rsid w:val="006F107F"/>
    <w:rsid w:val="006F1F8D"/>
    <w:rsid w:val="006F3D3B"/>
    <w:rsid w:val="0070092D"/>
    <w:rsid w:val="00700BE1"/>
    <w:rsid w:val="00704F7D"/>
    <w:rsid w:val="00712C22"/>
    <w:rsid w:val="0071305A"/>
    <w:rsid w:val="007139B3"/>
    <w:rsid w:val="007143CB"/>
    <w:rsid w:val="0071445C"/>
    <w:rsid w:val="007154B6"/>
    <w:rsid w:val="00715690"/>
    <w:rsid w:val="00720152"/>
    <w:rsid w:val="0072135D"/>
    <w:rsid w:val="007224F8"/>
    <w:rsid w:val="00723C81"/>
    <w:rsid w:val="00724B62"/>
    <w:rsid w:val="0072690D"/>
    <w:rsid w:val="00727353"/>
    <w:rsid w:val="0073239D"/>
    <w:rsid w:val="00733499"/>
    <w:rsid w:val="00733E43"/>
    <w:rsid w:val="00735335"/>
    <w:rsid w:val="00737C7C"/>
    <w:rsid w:val="007407B3"/>
    <w:rsid w:val="00741870"/>
    <w:rsid w:val="00744AC1"/>
    <w:rsid w:val="00744B79"/>
    <w:rsid w:val="00745FFF"/>
    <w:rsid w:val="007472CE"/>
    <w:rsid w:val="00751442"/>
    <w:rsid w:val="00752E1B"/>
    <w:rsid w:val="00753819"/>
    <w:rsid w:val="00753A59"/>
    <w:rsid w:val="007557F5"/>
    <w:rsid w:val="007562A2"/>
    <w:rsid w:val="00760480"/>
    <w:rsid w:val="00763FB1"/>
    <w:rsid w:val="0076466F"/>
    <w:rsid w:val="00767CEA"/>
    <w:rsid w:val="00770173"/>
    <w:rsid w:val="00770984"/>
    <w:rsid w:val="00771181"/>
    <w:rsid w:val="00773268"/>
    <w:rsid w:val="00775F1F"/>
    <w:rsid w:val="00777A39"/>
    <w:rsid w:val="00781809"/>
    <w:rsid w:val="00781949"/>
    <w:rsid w:val="0078278B"/>
    <w:rsid w:val="0078379A"/>
    <w:rsid w:val="00783C0F"/>
    <w:rsid w:val="0078550A"/>
    <w:rsid w:val="00785880"/>
    <w:rsid w:val="0078643A"/>
    <w:rsid w:val="0078742A"/>
    <w:rsid w:val="0078748D"/>
    <w:rsid w:val="00792FCB"/>
    <w:rsid w:val="00794125"/>
    <w:rsid w:val="007942FB"/>
    <w:rsid w:val="007A27B4"/>
    <w:rsid w:val="007A41F4"/>
    <w:rsid w:val="007A4E9C"/>
    <w:rsid w:val="007A596A"/>
    <w:rsid w:val="007A618E"/>
    <w:rsid w:val="007A65C5"/>
    <w:rsid w:val="007A7255"/>
    <w:rsid w:val="007B0EFF"/>
    <w:rsid w:val="007B241B"/>
    <w:rsid w:val="007B28F8"/>
    <w:rsid w:val="007C1DFE"/>
    <w:rsid w:val="007C382C"/>
    <w:rsid w:val="007C450D"/>
    <w:rsid w:val="007C6608"/>
    <w:rsid w:val="007C71D0"/>
    <w:rsid w:val="007C72B6"/>
    <w:rsid w:val="007C7BBC"/>
    <w:rsid w:val="007D21AF"/>
    <w:rsid w:val="007D2484"/>
    <w:rsid w:val="007D3871"/>
    <w:rsid w:val="007D430C"/>
    <w:rsid w:val="007D4C5B"/>
    <w:rsid w:val="007D5605"/>
    <w:rsid w:val="007D5787"/>
    <w:rsid w:val="007D5DAC"/>
    <w:rsid w:val="007E1630"/>
    <w:rsid w:val="007E29AC"/>
    <w:rsid w:val="007E6B2D"/>
    <w:rsid w:val="007E7E7D"/>
    <w:rsid w:val="007F02E5"/>
    <w:rsid w:val="007F12CD"/>
    <w:rsid w:val="007F55EB"/>
    <w:rsid w:val="007F6251"/>
    <w:rsid w:val="007F629A"/>
    <w:rsid w:val="007F636E"/>
    <w:rsid w:val="007F6DA6"/>
    <w:rsid w:val="00803604"/>
    <w:rsid w:val="00803EA9"/>
    <w:rsid w:val="00803EEE"/>
    <w:rsid w:val="00805465"/>
    <w:rsid w:val="008074EA"/>
    <w:rsid w:val="008109AE"/>
    <w:rsid w:val="00810CD9"/>
    <w:rsid w:val="008129EF"/>
    <w:rsid w:val="00814378"/>
    <w:rsid w:val="008146A7"/>
    <w:rsid w:val="008156B7"/>
    <w:rsid w:val="00815FAF"/>
    <w:rsid w:val="00816524"/>
    <w:rsid w:val="0082059C"/>
    <w:rsid w:val="00820862"/>
    <w:rsid w:val="00820BA3"/>
    <w:rsid w:val="0082340E"/>
    <w:rsid w:val="00824295"/>
    <w:rsid w:val="00826E17"/>
    <w:rsid w:val="00826EE0"/>
    <w:rsid w:val="00831E9B"/>
    <w:rsid w:val="008327C0"/>
    <w:rsid w:val="00832961"/>
    <w:rsid w:val="0083384A"/>
    <w:rsid w:val="00833D09"/>
    <w:rsid w:val="00833E89"/>
    <w:rsid w:val="00837091"/>
    <w:rsid w:val="00840A4A"/>
    <w:rsid w:val="008412E3"/>
    <w:rsid w:val="00841D8F"/>
    <w:rsid w:val="00843F5A"/>
    <w:rsid w:val="008525C7"/>
    <w:rsid w:val="008526E2"/>
    <w:rsid w:val="00853029"/>
    <w:rsid w:val="00855152"/>
    <w:rsid w:val="00855B55"/>
    <w:rsid w:val="00855DE5"/>
    <w:rsid w:val="00860739"/>
    <w:rsid w:val="00861697"/>
    <w:rsid w:val="0086584F"/>
    <w:rsid w:val="00865F55"/>
    <w:rsid w:val="008662EC"/>
    <w:rsid w:val="00866D06"/>
    <w:rsid w:val="00866E81"/>
    <w:rsid w:val="00867536"/>
    <w:rsid w:val="008708A8"/>
    <w:rsid w:val="008752A9"/>
    <w:rsid w:val="008778D9"/>
    <w:rsid w:val="008803BE"/>
    <w:rsid w:val="0088536D"/>
    <w:rsid w:val="0089034B"/>
    <w:rsid w:val="00890F02"/>
    <w:rsid w:val="0089158C"/>
    <w:rsid w:val="00891AFB"/>
    <w:rsid w:val="00894B8A"/>
    <w:rsid w:val="00895056"/>
    <w:rsid w:val="0089579C"/>
    <w:rsid w:val="00896BDA"/>
    <w:rsid w:val="008979FE"/>
    <w:rsid w:val="00897AEF"/>
    <w:rsid w:val="00897B3E"/>
    <w:rsid w:val="008A3099"/>
    <w:rsid w:val="008A3165"/>
    <w:rsid w:val="008A56E8"/>
    <w:rsid w:val="008A78AE"/>
    <w:rsid w:val="008A78C6"/>
    <w:rsid w:val="008A78FB"/>
    <w:rsid w:val="008B1744"/>
    <w:rsid w:val="008B350E"/>
    <w:rsid w:val="008B5876"/>
    <w:rsid w:val="008B5F03"/>
    <w:rsid w:val="008B6250"/>
    <w:rsid w:val="008C00A2"/>
    <w:rsid w:val="008C1F7C"/>
    <w:rsid w:val="008C24D2"/>
    <w:rsid w:val="008D0886"/>
    <w:rsid w:val="008D141C"/>
    <w:rsid w:val="008D1E33"/>
    <w:rsid w:val="008D36C4"/>
    <w:rsid w:val="008D6FD5"/>
    <w:rsid w:val="008D7277"/>
    <w:rsid w:val="008D77E0"/>
    <w:rsid w:val="008E33AE"/>
    <w:rsid w:val="008E5AA7"/>
    <w:rsid w:val="008F0240"/>
    <w:rsid w:val="008F294B"/>
    <w:rsid w:val="008F2ED7"/>
    <w:rsid w:val="008F73EE"/>
    <w:rsid w:val="008F75B1"/>
    <w:rsid w:val="008F75DF"/>
    <w:rsid w:val="009017E9"/>
    <w:rsid w:val="00901A31"/>
    <w:rsid w:val="00902491"/>
    <w:rsid w:val="009028E3"/>
    <w:rsid w:val="00907BE3"/>
    <w:rsid w:val="00910549"/>
    <w:rsid w:val="009109CE"/>
    <w:rsid w:val="00911F4B"/>
    <w:rsid w:val="00911F84"/>
    <w:rsid w:val="009130A1"/>
    <w:rsid w:val="009155F6"/>
    <w:rsid w:val="009159F9"/>
    <w:rsid w:val="00916A9C"/>
    <w:rsid w:val="0092018A"/>
    <w:rsid w:val="00920B5F"/>
    <w:rsid w:val="00920B9A"/>
    <w:rsid w:val="00920E19"/>
    <w:rsid w:val="00920FBB"/>
    <w:rsid w:val="009218CE"/>
    <w:rsid w:val="0092202C"/>
    <w:rsid w:val="009220BD"/>
    <w:rsid w:val="009227E7"/>
    <w:rsid w:val="009248B2"/>
    <w:rsid w:val="00925367"/>
    <w:rsid w:val="00925A8E"/>
    <w:rsid w:val="00925AEA"/>
    <w:rsid w:val="009304E8"/>
    <w:rsid w:val="00930CA7"/>
    <w:rsid w:val="00932D3C"/>
    <w:rsid w:val="009333E9"/>
    <w:rsid w:val="00934435"/>
    <w:rsid w:val="009352B1"/>
    <w:rsid w:val="0093553B"/>
    <w:rsid w:val="009363E9"/>
    <w:rsid w:val="0093668E"/>
    <w:rsid w:val="009374BE"/>
    <w:rsid w:val="00937A27"/>
    <w:rsid w:val="009405C2"/>
    <w:rsid w:val="009420E0"/>
    <w:rsid w:val="0094220B"/>
    <w:rsid w:val="0094263C"/>
    <w:rsid w:val="00942DE9"/>
    <w:rsid w:val="009436B9"/>
    <w:rsid w:val="00945569"/>
    <w:rsid w:val="00946246"/>
    <w:rsid w:val="00947639"/>
    <w:rsid w:val="00951DD7"/>
    <w:rsid w:val="009528BD"/>
    <w:rsid w:val="0095366F"/>
    <w:rsid w:val="00954FD2"/>
    <w:rsid w:val="009573FB"/>
    <w:rsid w:val="0096039F"/>
    <w:rsid w:val="00960A49"/>
    <w:rsid w:val="0096219F"/>
    <w:rsid w:val="0096346E"/>
    <w:rsid w:val="00964BD9"/>
    <w:rsid w:val="00964D3C"/>
    <w:rsid w:val="009653B3"/>
    <w:rsid w:val="0096626C"/>
    <w:rsid w:val="0096676F"/>
    <w:rsid w:val="00966CA7"/>
    <w:rsid w:val="00971646"/>
    <w:rsid w:val="00971A0C"/>
    <w:rsid w:val="00975A30"/>
    <w:rsid w:val="009760F1"/>
    <w:rsid w:val="00977DF1"/>
    <w:rsid w:val="00981495"/>
    <w:rsid w:val="00990129"/>
    <w:rsid w:val="00993962"/>
    <w:rsid w:val="00994665"/>
    <w:rsid w:val="0099507F"/>
    <w:rsid w:val="00995C65"/>
    <w:rsid w:val="009A171F"/>
    <w:rsid w:val="009A1A0E"/>
    <w:rsid w:val="009A2C01"/>
    <w:rsid w:val="009A2DEF"/>
    <w:rsid w:val="009A442E"/>
    <w:rsid w:val="009A46CB"/>
    <w:rsid w:val="009A558A"/>
    <w:rsid w:val="009A5D37"/>
    <w:rsid w:val="009A5F91"/>
    <w:rsid w:val="009A6CA5"/>
    <w:rsid w:val="009B0AA7"/>
    <w:rsid w:val="009B142F"/>
    <w:rsid w:val="009B2D43"/>
    <w:rsid w:val="009B511E"/>
    <w:rsid w:val="009B7030"/>
    <w:rsid w:val="009B74E9"/>
    <w:rsid w:val="009C1B85"/>
    <w:rsid w:val="009C3531"/>
    <w:rsid w:val="009C4BF3"/>
    <w:rsid w:val="009C6C64"/>
    <w:rsid w:val="009D12D6"/>
    <w:rsid w:val="009D1427"/>
    <w:rsid w:val="009D2DFE"/>
    <w:rsid w:val="009D4EF7"/>
    <w:rsid w:val="009D6E98"/>
    <w:rsid w:val="009E0928"/>
    <w:rsid w:val="009E2E67"/>
    <w:rsid w:val="009E317B"/>
    <w:rsid w:val="009E3CF8"/>
    <w:rsid w:val="009E6D28"/>
    <w:rsid w:val="009E6FD1"/>
    <w:rsid w:val="009E7C81"/>
    <w:rsid w:val="009F004D"/>
    <w:rsid w:val="009F0855"/>
    <w:rsid w:val="009F131E"/>
    <w:rsid w:val="009F1A5D"/>
    <w:rsid w:val="009F286C"/>
    <w:rsid w:val="009F2B5D"/>
    <w:rsid w:val="009F5E52"/>
    <w:rsid w:val="009F6359"/>
    <w:rsid w:val="009F7175"/>
    <w:rsid w:val="009F75E2"/>
    <w:rsid w:val="00A03595"/>
    <w:rsid w:val="00A05301"/>
    <w:rsid w:val="00A0730C"/>
    <w:rsid w:val="00A1023A"/>
    <w:rsid w:val="00A109C4"/>
    <w:rsid w:val="00A125D7"/>
    <w:rsid w:val="00A12957"/>
    <w:rsid w:val="00A143FD"/>
    <w:rsid w:val="00A14DDF"/>
    <w:rsid w:val="00A150D6"/>
    <w:rsid w:val="00A17214"/>
    <w:rsid w:val="00A20200"/>
    <w:rsid w:val="00A20A1C"/>
    <w:rsid w:val="00A20C86"/>
    <w:rsid w:val="00A22B78"/>
    <w:rsid w:val="00A23A36"/>
    <w:rsid w:val="00A26844"/>
    <w:rsid w:val="00A32636"/>
    <w:rsid w:val="00A33006"/>
    <w:rsid w:val="00A33178"/>
    <w:rsid w:val="00A362B6"/>
    <w:rsid w:val="00A37D01"/>
    <w:rsid w:val="00A4052B"/>
    <w:rsid w:val="00A40B48"/>
    <w:rsid w:val="00A4239F"/>
    <w:rsid w:val="00A429FB"/>
    <w:rsid w:val="00A438EC"/>
    <w:rsid w:val="00A44668"/>
    <w:rsid w:val="00A470C2"/>
    <w:rsid w:val="00A47C9A"/>
    <w:rsid w:val="00A50E17"/>
    <w:rsid w:val="00A51207"/>
    <w:rsid w:val="00A52588"/>
    <w:rsid w:val="00A525D4"/>
    <w:rsid w:val="00A52714"/>
    <w:rsid w:val="00A5298D"/>
    <w:rsid w:val="00A53DF4"/>
    <w:rsid w:val="00A5420B"/>
    <w:rsid w:val="00A5446B"/>
    <w:rsid w:val="00A568C7"/>
    <w:rsid w:val="00A603D2"/>
    <w:rsid w:val="00A61859"/>
    <w:rsid w:val="00A62597"/>
    <w:rsid w:val="00A62D09"/>
    <w:rsid w:val="00A63E6A"/>
    <w:rsid w:val="00A65BAE"/>
    <w:rsid w:val="00A679E4"/>
    <w:rsid w:val="00A72139"/>
    <w:rsid w:val="00A72E4B"/>
    <w:rsid w:val="00A72F37"/>
    <w:rsid w:val="00A750A0"/>
    <w:rsid w:val="00A76C75"/>
    <w:rsid w:val="00A771A9"/>
    <w:rsid w:val="00A805EB"/>
    <w:rsid w:val="00A80D08"/>
    <w:rsid w:val="00A80D71"/>
    <w:rsid w:val="00A8167F"/>
    <w:rsid w:val="00A82A13"/>
    <w:rsid w:val="00A83986"/>
    <w:rsid w:val="00A839D9"/>
    <w:rsid w:val="00A85E6F"/>
    <w:rsid w:val="00A86A14"/>
    <w:rsid w:val="00A912E6"/>
    <w:rsid w:val="00A91BAD"/>
    <w:rsid w:val="00A91C3D"/>
    <w:rsid w:val="00A91EEF"/>
    <w:rsid w:val="00A92D48"/>
    <w:rsid w:val="00A94E12"/>
    <w:rsid w:val="00A94E53"/>
    <w:rsid w:val="00A966E7"/>
    <w:rsid w:val="00A97459"/>
    <w:rsid w:val="00A97EE1"/>
    <w:rsid w:val="00AA0F4E"/>
    <w:rsid w:val="00AA5450"/>
    <w:rsid w:val="00AA69C1"/>
    <w:rsid w:val="00AB0F26"/>
    <w:rsid w:val="00AB1DD3"/>
    <w:rsid w:val="00AB490A"/>
    <w:rsid w:val="00AB4C8F"/>
    <w:rsid w:val="00AB5770"/>
    <w:rsid w:val="00AC0590"/>
    <w:rsid w:val="00AC1D02"/>
    <w:rsid w:val="00AC310B"/>
    <w:rsid w:val="00AC3884"/>
    <w:rsid w:val="00AC56B3"/>
    <w:rsid w:val="00AE0E33"/>
    <w:rsid w:val="00AE1753"/>
    <w:rsid w:val="00AE327C"/>
    <w:rsid w:val="00AE37FB"/>
    <w:rsid w:val="00AE476B"/>
    <w:rsid w:val="00AE4D00"/>
    <w:rsid w:val="00AE5A5D"/>
    <w:rsid w:val="00AE5B7A"/>
    <w:rsid w:val="00AE6594"/>
    <w:rsid w:val="00AE73DC"/>
    <w:rsid w:val="00AF03B6"/>
    <w:rsid w:val="00AF1BA6"/>
    <w:rsid w:val="00AF2DE0"/>
    <w:rsid w:val="00AF52AB"/>
    <w:rsid w:val="00AF5761"/>
    <w:rsid w:val="00B02EC1"/>
    <w:rsid w:val="00B03275"/>
    <w:rsid w:val="00B07CDF"/>
    <w:rsid w:val="00B1395C"/>
    <w:rsid w:val="00B13DD5"/>
    <w:rsid w:val="00B14C63"/>
    <w:rsid w:val="00B173B8"/>
    <w:rsid w:val="00B17DB6"/>
    <w:rsid w:val="00B22658"/>
    <w:rsid w:val="00B22AB1"/>
    <w:rsid w:val="00B23789"/>
    <w:rsid w:val="00B247DB"/>
    <w:rsid w:val="00B26439"/>
    <w:rsid w:val="00B32703"/>
    <w:rsid w:val="00B32CEC"/>
    <w:rsid w:val="00B34390"/>
    <w:rsid w:val="00B3472B"/>
    <w:rsid w:val="00B37FCE"/>
    <w:rsid w:val="00B4025D"/>
    <w:rsid w:val="00B40648"/>
    <w:rsid w:val="00B416CC"/>
    <w:rsid w:val="00B427D6"/>
    <w:rsid w:val="00B43383"/>
    <w:rsid w:val="00B444E8"/>
    <w:rsid w:val="00B44643"/>
    <w:rsid w:val="00B4510F"/>
    <w:rsid w:val="00B46050"/>
    <w:rsid w:val="00B46057"/>
    <w:rsid w:val="00B46376"/>
    <w:rsid w:val="00B469F2"/>
    <w:rsid w:val="00B5008C"/>
    <w:rsid w:val="00B51417"/>
    <w:rsid w:val="00B51F10"/>
    <w:rsid w:val="00B53061"/>
    <w:rsid w:val="00B54AEA"/>
    <w:rsid w:val="00B54FC3"/>
    <w:rsid w:val="00B54FE3"/>
    <w:rsid w:val="00B554D1"/>
    <w:rsid w:val="00B609BA"/>
    <w:rsid w:val="00B610A2"/>
    <w:rsid w:val="00B62030"/>
    <w:rsid w:val="00B634B6"/>
    <w:rsid w:val="00B635AA"/>
    <w:rsid w:val="00B63D43"/>
    <w:rsid w:val="00B662D5"/>
    <w:rsid w:val="00B66783"/>
    <w:rsid w:val="00B67B38"/>
    <w:rsid w:val="00B71A43"/>
    <w:rsid w:val="00B73230"/>
    <w:rsid w:val="00B7500F"/>
    <w:rsid w:val="00B77F0D"/>
    <w:rsid w:val="00B8088D"/>
    <w:rsid w:val="00B838C4"/>
    <w:rsid w:val="00B86304"/>
    <w:rsid w:val="00B87CEC"/>
    <w:rsid w:val="00B91E3B"/>
    <w:rsid w:val="00B923B2"/>
    <w:rsid w:val="00B948D4"/>
    <w:rsid w:val="00B95718"/>
    <w:rsid w:val="00B95B63"/>
    <w:rsid w:val="00BA7BBE"/>
    <w:rsid w:val="00BB0FDC"/>
    <w:rsid w:val="00BB1284"/>
    <w:rsid w:val="00BB154E"/>
    <w:rsid w:val="00BB3B0C"/>
    <w:rsid w:val="00BB3D7D"/>
    <w:rsid w:val="00BB3E20"/>
    <w:rsid w:val="00BB5397"/>
    <w:rsid w:val="00BB609A"/>
    <w:rsid w:val="00BB714C"/>
    <w:rsid w:val="00BC0140"/>
    <w:rsid w:val="00BC117E"/>
    <w:rsid w:val="00BC1D77"/>
    <w:rsid w:val="00BC1FE6"/>
    <w:rsid w:val="00BC2420"/>
    <w:rsid w:val="00BC2F43"/>
    <w:rsid w:val="00BC3FDF"/>
    <w:rsid w:val="00BC410C"/>
    <w:rsid w:val="00BC4E52"/>
    <w:rsid w:val="00BC5785"/>
    <w:rsid w:val="00BC5B28"/>
    <w:rsid w:val="00BC6A79"/>
    <w:rsid w:val="00BC7D89"/>
    <w:rsid w:val="00BD102E"/>
    <w:rsid w:val="00BD2546"/>
    <w:rsid w:val="00BD37B6"/>
    <w:rsid w:val="00BD5FD7"/>
    <w:rsid w:val="00BE1D5D"/>
    <w:rsid w:val="00BF00C0"/>
    <w:rsid w:val="00BF5983"/>
    <w:rsid w:val="00C00F88"/>
    <w:rsid w:val="00C0378A"/>
    <w:rsid w:val="00C061DE"/>
    <w:rsid w:val="00C0724F"/>
    <w:rsid w:val="00C12AD9"/>
    <w:rsid w:val="00C13740"/>
    <w:rsid w:val="00C147F2"/>
    <w:rsid w:val="00C148ED"/>
    <w:rsid w:val="00C1531C"/>
    <w:rsid w:val="00C170B2"/>
    <w:rsid w:val="00C17194"/>
    <w:rsid w:val="00C171C0"/>
    <w:rsid w:val="00C2006C"/>
    <w:rsid w:val="00C20214"/>
    <w:rsid w:val="00C205B5"/>
    <w:rsid w:val="00C21CC6"/>
    <w:rsid w:val="00C21E68"/>
    <w:rsid w:val="00C221BC"/>
    <w:rsid w:val="00C2364E"/>
    <w:rsid w:val="00C306C8"/>
    <w:rsid w:val="00C32889"/>
    <w:rsid w:val="00C35208"/>
    <w:rsid w:val="00C3568D"/>
    <w:rsid w:val="00C3586C"/>
    <w:rsid w:val="00C36441"/>
    <w:rsid w:val="00C36BF6"/>
    <w:rsid w:val="00C41D83"/>
    <w:rsid w:val="00C429B3"/>
    <w:rsid w:val="00C513FE"/>
    <w:rsid w:val="00C5192F"/>
    <w:rsid w:val="00C5664F"/>
    <w:rsid w:val="00C61B25"/>
    <w:rsid w:val="00C61D8C"/>
    <w:rsid w:val="00C6214D"/>
    <w:rsid w:val="00C622AE"/>
    <w:rsid w:val="00C626FF"/>
    <w:rsid w:val="00C65228"/>
    <w:rsid w:val="00C65929"/>
    <w:rsid w:val="00C745D7"/>
    <w:rsid w:val="00C74CD6"/>
    <w:rsid w:val="00C74D1A"/>
    <w:rsid w:val="00C74ED7"/>
    <w:rsid w:val="00C753B3"/>
    <w:rsid w:val="00C7672C"/>
    <w:rsid w:val="00C777C2"/>
    <w:rsid w:val="00C778A2"/>
    <w:rsid w:val="00C815EC"/>
    <w:rsid w:val="00C8518C"/>
    <w:rsid w:val="00C86D39"/>
    <w:rsid w:val="00C86EFA"/>
    <w:rsid w:val="00C876A3"/>
    <w:rsid w:val="00C87A9B"/>
    <w:rsid w:val="00C90D82"/>
    <w:rsid w:val="00C9262C"/>
    <w:rsid w:val="00C94022"/>
    <w:rsid w:val="00C9570B"/>
    <w:rsid w:val="00C95D00"/>
    <w:rsid w:val="00C96B78"/>
    <w:rsid w:val="00C979E1"/>
    <w:rsid w:val="00CA033D"/>
    <w:rsid w:val="00CA1E15"/>
    <w:rsid w:val="00CA3108"/>
    <w:rsid w:val="00CA3CA6"/>
    <w:rsid w:val="00CA4A7E"/>
    <w:rsid w:val="00CB18CD"/>
    <w:rsid w:val="00CB2BFB"/>
    <w:rsid w:val="00CB52AC"/>
    <w:rsid w:val="00CB5FAD"/>
    <w:rsid w:val="00CB653D"/>
    <w:rsid w:val="00CB7542"/>
    <w:rsid w:val="00CC0AA2"/>
    <w:rsid w:val="00CC0F21"/>
    <w:rsid w:val="00CC0FF6"/>
    <w:rsid w:val="00CC42E6"/>
    <w:rsid w:val="00CC5808"/>
    <w:rsid w:val="00CC7357"/>
    <w:rsid w:val="00CD1FE8"/>
    <w:rsid w:val="00CD2E33"/>
    <w:rsid w:val="00CD6C06"/>
    <w:rsid w:val="00CD7196"/>
    <w:rsid w:val="00CD78D5"/>
    <w:rsid w:val="00CE2475"/>
    <w:rsid w:val="00CE4204"/>
    <w:rsid w:val="00CE439E"/>
    <w:rsid w:val="00CE54D4"/>
    <w:rsid w:val="00CE5685"/>
    <w:rsid w:val="00CF1453"/>
    <w:rsid w:val="00CF27B2"/>
    <w:rsid w:val="00CF40A8"/>
    <w:rsid w:val="00CF5234"/>
    <w:rsid w:val="00CF53DE"/>
    <w:rsid w:val="00CF727A"/>
    <w:rsid w:val="00D0130E"/>
    <w:rsid w:val="00D01ECA"/>
    <w:rsid w:val="00D0271A"/>
    <w:rsid w:val="00D0341C"/>
    <w:rsid w:val="00D038C1"/>
    <w:rsid w:val="00D06720"/>
    <w:rsid w:val="00D07528"/>
    <w:rsid w:val="00D126FD"/>
    <w:rsid w:val="00D12D2B"/>
    <w:rsid w:val="00D139F1"/>
    <w:rsid w:val="00D158B6"/>
    <w:rsid w:val="00D21F13"/>
    <w:rsid w:val="00D22A8A"/>
    <w:rsid w:val="00D2311A"/>
    <w:rsid w:val="00D243CB"/>
    <w:rsid w:val="00D245AC"/>
    <w:rsid w:val="00D254CF"/>
    <w:rsid w:val="00D2563B"/>
    <w:rsid w:val="00D25761"/>
    <w:rsid w:val="00D27D53"/>
    <w:rsid w:val="00D31006"/>
    <w:rsid w:val="00D3171F"/>
    <w:rsid w:val="00D31E68"/>
    <w:rsid w:val="00D31E97"/>
    <w:rsid w:val="00D3321D"/>
    <w:rsid w:val="00D33752"/>
    <w:rsid w:val="00D33D6A"/>
    <w:rsid w:val="00D34BEB"/>
    <w:rsid w:val="00D3724B"/>
    <w:rsid w:val="00D409F0"/>
    <w:rsid w:val="00D41720"/>
    <w:rsid w:val="00D424E9"/>
    <w:rsid w:val="00D428B7"/>
    <w:rsid w:val="00D42918"/>
    <w:rsid w:val="00D42E37"/>
    <w:rsid w:val="00D43630"/>
    <w:rsid w:val="00D44DCA"/>
    <w:rsid w:val="00D461D3"/>
    <w:rsid w:val="00D467EC"/>
    <w:rsid w:val="00D47948"/>
    <w:rsid w:val="00D505E3"/>
    <w:rsid w:val="00D519DD"/>
    <w:rsid w:val="00D524AF"/>
    <w:rsid w:val="00D529EE"/>
    <w:rsid w:val="00D53911"/>
    <w:rsid w:val="00D55A2C"/>
    <w:rsid w:val="00D56BE2"/>
    <w:rsid w:val="00D575D3"/>
    <w:rsid w:val="00D60CA4"/>
    <w:rsid w:val="00D60E0F"/>
    <w:rsid w:val="00D63966"/>
    <w:rsid w:val="00D66295"/>
    <w:rsid w:val="00D67736"/>
    <w:rsid w:val="00D71280"/>
    <w:rsid w:val="00D7168B"/>
    <w:rsid w:val="00D73CD9"/>
    <w:rsid w:val="00D81677"/>
    <w:rsid w:val="00D84BCE"/>
    <w:rsid w:val="00D85444"/>
    <w:rsid w:val="00D85F21"/>
    <w:rsid w:val="00D8638D"/>
    <w:rsid w:val="00D86B2E"/>
    <w:rsid w:val="00D86C5B"/>
    <w:rsid w:val="00D9063D"/>
    <w:rsid w:val="00D9264E"/>
    <w:rsid w:val="00D92AE8"/>
    <w:rsid w:val="00DA0293"/>
    <w:rsid w:val="00DA0C83"/>
    <w:rsid w:val="00DA6FDB"/>
    <w:rsid w:val="00DA74C9"/>
    <w:rsid w:val="00DB1EF4"/>
    <w:rsid w:val="00DB7246"/>
    <w:rsid w:val="00DC086E"/>
    <w:rsid w:val="00DC0FB5"/>
    <w:rsid w:val="00DC1243"/>
    <w:rsid w:val="00DC1968"/>
    <w:rsid w:val="00DC2273"/>
    <w:rsid w:val="00DC2383"/>
    <w:rsid w:val="00DC28B3"/>
    <w:rsid w:val="00DC4833"/>
    <w:rsid w:val="00DC5C04"/>
    <w:rsid w:val="00DD0DDB"/>
    <w:rsid w:val="00DD3E6A"/>
    <w:rsid w:val="00DD4183"/>
    <w:rsid w:val="00DD537C"/>
    <w:rsid w:val="00DD5A9A"/>
    <w:rsid w:val="00DD743F"/>
    <w:rsid w:val="00DD7ACB"/>
    <w:rsid w:val="00DE0680"/>
    <w:rsid w:val="00DE070D"/>
    <w:rsid w:val="00DE60E8"/>
    <w:rsid w:val="00DE67B2"/>
    <w:rsid w:val="00DE6F78"/>
    <w:rsid w:val="00DE7300"/>
    <w:rsid w:val="00DE771C"/>
    <w:rsid w:val="00DE7A64"/>
    <w:rsid w:val="00DF096E"/>
    <w:rsid w:val="00DF3334"/>
    <w:rsid w:val="00DF35B8"/>
    <w:rsid w:val="00DF3CB5"/>
    <w:rsid w:val="00DF591F"/>
    <w:rsid w:val="00DF6A08"/>
    <w:rsid w:val="00DF6C81"/>
    <w:rsid w:val="00DF7D12"/>
    <w:rsid w:val="00E01D83"/>
    <w:rsid w:val="00E01E70"/>
    <w:rsid w:val="00E02175"/>
    <w:rsid w:val="00E03188"/>
    <w:rsid w:val="00E044B5"/>
    <w:rsid w:val="00E06877"/>
    <w:rsid w:val="00E10E17"/>
    <w:rsid w:val="00E11AD7"/>
    <w:rsid w:val="00E13641"/>
    <w:rsid w:val="00E24CA2"/>
    <w:rsid w:val="00E25289"/>
    <w:rsid w:val="00E274CA"/>
    <w:rsid w:val="00E30AE6"/>
    <w:rsid w:val="00E31001"/>
    <w:rsid w:val="00E311DE"/>
    <w:rsid w:val="00E31749"/>
    <w:rsid w:val="00E319BF"/>
    <w:rsid w:val="00E32EC8"/>
    <w:rsid w:val="00E3306A"/>
    <w:rsid w:val="00E344A2"/>
    <w:rsid w:val="00E34911"/>
    <w:rsid w:val="00E35D22"/>
    <w:rsid w:val="00E40D25"/>
    <w:rsid w:val="00E41C99"/>
    <w:rsid w:val="00E42169"/>
    <w:rsid w:val="00E42AC2"/>
    <w:rsid w:val="00E43825"/>
    <w:rsid w:val="00E452D2"/>
    <w:rsid w:val="00E46064"/>
    <w:rsid w:val="00E46223"/>
    <w:rsid w:val="00E474E4"/>
    <w:rsid w:val="00E47D62"/>
    <w:rsid w:val="00E50EDA"/>
    <w:rsid w:val="00E52071"/>
    <w:rsid w:val="00E53849"/>
    <w:rsid w:val="00E54271"/>
    <w:rsid w:val="00E55659"/>
    <w:rsid w:val="00E55B08"/>
    <w:rsid w:val="00E566B6"/>
    <w:rsid w:val="00E577D0"/>
    <w:rsid w:val="00E601C1"/>
    <w:rsid w:val="00E60D6E"/>
    <w:rsid w:val="00E62DEF"/>
    <w:rsid w:val="00E63DD8"/>
    <w:rsid w:val="00E64E87"/>
    <w:rsid w:val="00E6599D"/>
    <w:rsid w:val="00E663C8"/>
    <w:rsid w:val="00E6671D"/>
    <w:rsid w:val="00E67A48"/>
    <w:rsid w:val="00E67A9D"/>
    <w:rsid w:val="00E71994"/>
    <w:rsid w:val="00E72763"/>
    <w:rsid w:val="00E73674"/>
    <w:rsid w:val="00E76166"/>
    <w:rsid w:val="00E7763E"/>
    <w:rsid w:val="00E8349C"/>
    <w:rsid w:val="00E83BA1"/>
    <w:rsid w:val="00E849F4"/>
    <w:rsid w:val="00E84D82"/>
    <w:rsid w:val="00E85CA7"/>
    <w:rsid w:val="00E86940"/>
    <w:rsid w:val="00E86C59"/>
    <w:rsid w:val="00E90444"/>
    <w:rsid w:val="00E93A51"/>
    <w:rsid w:val="00E95672"/>
    <w:rsid w:val="00E95855"/>
    <w:rsid w:val="00EA037E"/>
    <w:rsid w:val="00EA0CED"/>
    <w:rsid w:val="00EA1959"/>
    <w:rsid w:val="00EA1E13"/>
    <w:rsid w:val="00EA483B"/>
    <w:rsid w:val="00EA526D"/>
    <w:rsid w:val="00EA53BB"/>
    <w:rsid w:val="00EA62E7"/>
    <w:rsid w:val="00EA7914"/>
    <w:rsid w:val="00EB0030"/>
    <w:rsid w:val="00EB534C"/>
    <w:rsid w:val="00EB580E"/>
    <w:rsid w:val="00EB5ECA"/>
    <w:rsid w:val="00EB6A04"/>
    <w:rsid w:val="00EB79FA"/>
    <w:rsid w:val="00EB7AE9"/>
    <w:rsid w:val="00EC0739"/>
    <w:rsid w:val="00EC1C0A"/>
    <w:rsid w:val="00EC206B"/>
    <w:rsid w:val="00EC20D2"/>
    <w:rsid w:val="00EC5780"/>
    <w:rsid w:val="00ED0673"/>
    <w:rsid w:val="00ED0B40"/>
    <w:rsid w:val="00ED197C"/>
    <w:rsid w:val="00ED2164"/>
    <w:rsid w:val="00ED332F"/>
    <w:rsid w:val="00ED408C"/>
    <w:rsid w:val="00ED7916"/>
    <w:rsid w:val="00ED7B01"/>
    <w:rsid w:val="00ED7E24"/>
    <w:rsid w:val="00EE004B"/>
    <w:rsid w:val="00EE24BB"/>
    <w:rsid w:val="00EE31BB"/>
    <w:rsid w:val="00EE5AA6"/>
    <w:rsid w:val="00EE5BD6"/>
    <w:rsid w:val="00EE7802"/>
    <w:rsid w:val="00EE7DE5"/>
    <w:rsid w:val="00EF1BFD"/>
    <w:rsid w:val="00EF40D8"/>
    <w:rsid w:val="00EF5EF8"/>
    <w:rsid w:val="00EF6250"/>
    <w:rsid w:val="00EF73BE"/>
    <w:rsid w:val="00F015C2"/>
    <w:rsid w:val="00F02330"/>
    <w:rsid w:val="00F02F0F"/>
    <w:rsid w:val="00F03A17"/>
    <w:rsid w:val="00F065E4"/>
    <w:rsid w:val="00F067EF"/>
    <w:rsid w:val="00F06853"/>
    <w:rsid w:val="00F06BA5"/>
    <w:rsid w:val="00F10CDD"/>
    <w:rsid w:val="00F10F8C"/>
    <w:rsid w:val="00F1321B"/>
    <w:rsid w:val="00F14E6A"/>
    <w:rsid w:val="00F15B3F"/>
    <w:rsid w:val="00F1751A"/>
    <w:rsid w:val="00F203B8"/>
    <w:rsid w:val="00F205C3"/>
    <w:rsid w:val="00F2118E"/>
    <w:rsid w:val="00F23027"/>
    <w:rsid w:val="00F23E50"/>
    <w:rsid w:val="00F23FB8"/>
    <w:rsid w:val="00F241BA"/>
    <w:rsid w:val="00F26EA7"/>
    <w:rsid w:val="00F27474"/>
    <w:rsid w:val="00F27DEE"/>
    <w:rsid w:val="00F32389"/>
    <w:rsid w:val="00F32C19"/>
    <w:rsid w:val="00F35822"/>
    <w:rsid w:val="00F36182"/>
    <w:rsid w:val="00F37E77"/>
    <w:rsid w:val="00F440CC"/>
    <w:rsid w:val="00F45817"/>
    <w:rsid w:val="00F45B01"/>
    <w:rsid w:val="00F50B76"/>
    <w:rsid w:val="00F51663"/>
    <w:rsid w:val="00F51B33"/>
    <w:rsid w:val="00F52CFD"/>
    <w:rsid w:val="00F5600D"/>
    <w:rsid w:val="00F5634B"/>
    <w:rsid w:val="00F57738"/>
    <w:rsid w:val="00F637C1"/>
    <w:rsid w:val="00F642A4"/>
    <w:rsid w:val="00F645AF"/>
    <w:rsid w:val="00F6560B"/>
    <w:rsid w:val="00F65DAA"/>
    <w:rsid w:val="00F661C3"/>
    <w:rsid w:val="00F67F34"/>
    <w:rsid w:val="00F711BE"/>
    <w:rsid w:val="00F736D0"/>
    <w:rsid w:val="00F74086"/>
    <w:rsid w:val="00F74780"/>
    <w:rsid w:val="00F752EA"/>
    <w:rsid w:val="00F77377"/>
    <w:rsid w:val="00F77442"/>
    <w:rsid w:val="00F7781D"/>
    <w:rsid w:val="00F830BF"/>
    <w:rsid w:val="00F856B0"/>
    <w:rsid w:val="00F86D03"/>
    <w:rsid w:val="00F877FD"/>
    <w:rsid w:val="00F908B9"/>
    <w:rsid w:val="00F92550"/>
    <w:rsid w:val="00F93ACC"/>
    <w:rsid w:val="00F94523"/>
    <w:rsid w:val="00F948B2"/>
    <w:rsid w:val="00F94B49"/>
    <w:rsid w:val="00F969DF"/>
    <w:rsid w:val="00F971FE"/>
    <w:rsid w:val="00FA028D"/>
    <w:rsid w:val="00FA412B"/>
    <w:rsid w:val="00FA4CCF"/>
    <w:rsid w:val="00FA7E3D"/>
    <w:rsid w:val="00FA7E81"/>
    <w:rsid w:val="00FB0ECD"/>
    <w:rsid w:val="00FB19E8"/>
    <w:rsid w:val="00FB3E23"/>
    <w:rsid w:val="00FB4A28"/>
    <w:rsid w:val="00FB4AAF"/>
    <w:rsid w:val="00FB6B6F"/>
    <w:rsid w:val="00FC11C1"/>
    <w:rsid w:val="00FC32CA"/>
    <w:rsid w:val="00FC395F"/>
    <w:rsid w:val="00FC4E92"/>
    <w:rsid w:val="00FC6F81"/>
    <w:rsid w:val="00FC7241"/>
    <w:rsid w:val="00FD02D9"/>
    <w:rsid w:val="00FD0D51"/>
    <w:rsid w:val="00FD11AD"/>
    <w:rsid w:val="00FD5FD1"/>
    <w:rsid w:val="00FE05AB"/>
    <w:rsid w:val="00FE0D1D"/>
    <w:rsid w:val="00FE12A6"/>
    <w:rsid w:val="00FE4AF1"/>
    <w:rsid w:val="00FE4B5E"/>
    <w:rsid w:val="00FE4FC5"/>
    <w:rsid w:val="00FE4FC9"/>
    <w:rsid w:val="00FE6638"/>
    <w:rsid w:val="00FF06DB"/>
    <w:rsid w:val="00FF0EFE"/>
    <w:rsid w:val="00FF1E8A"/>
    <w:rsid w:val="00FF3107"/>
    <w:rsid w:val="00FF4188"/>
    <w:rsid w:val="00FF60BD"/>
    <w:rsid w:val="00FF6517"/>
    <w:rsid w:val="00FF7326"/>
    <w:rsid w:val="0B943166"/>
    <w:rsid w:val="22606C04"/>
    <w:rsid w:val="534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2B18E1"/>
  <w15:docId w15:val="{4F674945-EEB8-B74F-9564-4FE43F03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052B"/>
    <w:rPr>
      <w:rFonts w:eastAsia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A4052B"/>
    <w:pPr>
      <w:outlineLvl w:val="0"/>
    </w:pPr>
    <w:rPr>
      <w:b/>
      <w:u w:val="single"/>
    </w:rPr>
  </w:style>
  <w:style w:type="paragraph" w:styleId="2">
    <w:name w:val="heading 2"/>
    <w:basedOn w:val="a0"/>
    <w:next w:val="a0"/>
    <w:uiPriority w:val="9"/>
    <w:unhideWhenUsed/>
    <w:qFormat/>
    <w:rsid w:val="00A4052B"/>
    <w:pPr>
      <w:keepNext/>
      <w:keepLines/>
      <w:spacing w:before="4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4052B"/>
    <w:pPr>
      <w:keepNext/>
      <w:keepLines/>
      <w:spacing w:before="40"/>
      <w:outlineLvl w:val="2"/>
    </w:pPr>
    <w:rPr>
      <w:rFonts w:ascii="Calibri" w:eastAsia="Calibri" w:hAnsi="Calibri" w:cs="Calibri"/>
      <w:color w:val="243F61"/>
    </w:rPr>
  </w:style>
  <w:style w:type="paragraph" w:styleId="4">
    <w:name w:val="heading 4"/>
    <w:basedOn w:val="a0"/>
    <w:next w:val="a0"/>
    <w:uiPriority w:val="9"/>
    <w:unhideWhenUsed/>
    <w:qFormat/>
    <w:rsid w:val="00A4052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rsid w:val="00A405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A405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4052B"/>
    <w:rPr>
      <w:rFonts w:ascii="Tahoma" w:hAnsi="Tahoma" w:cs="Tahoma"/>
      <w:sz w:val="16"/>
      <w:szCs w:val="16"/>
    </w:rPr>
  </w:style>
  <w:style w:type="character" w:styleId="a6">
    <w:name w:val="annotation reference"/>
    <w:basedOn w:val="a1"/>
    <w:uiPriority w:val="99"/>
    <w:semiHidden/>
    <w:unhideWhenUsed/>
    <w:qFormat/>
    <w:rsid w:val="00A4052B"/>
    <w:rPr>
      <w:sz w:val="16"/>
      <w:szCs w:val="16"/>
    </w:rPr>
  </w:style>
  <w:style w:type="paragraph" w:styleId="a7">
    <w:name w:val="annotation text"/>
    <w:basedOn w:val="a0"/>
    <w:link w:val="a8"/>
    <w:unhideWhenUsed/>
    <w:qFormat/>
    <w:rsid w:val="00A4052B"/>
    <w:rPr>
      <w:rFonts w:eastAsiaTheme="minorHAnsi" w:cstheme="minorBidi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A4052B"/>
    <w:rPr>
      <w:rFonts w:eastAsia="Times New Roman" w:cs="Times New Roman"/>
      <w:b/>
      <w:bCs/>
      <w:lang w:eastAsia="ru-RU"/>
    </w:rPr>
  </w:style>
  <w:style w:type="character" w:styleId="ab">
    <w:name w:val="FollowedHyperlink"/>
    <w:basedOn w:val="a1"/>
    <w:uiPriority w:val="99"/>
    <w:semiHidden/>
    <w:unhideWhenUsed/>
    <w:qFormat/>
    <w:rsid w:val="00A4052B"/>
    <w:rPr>
      <w:color w:val="800080" w:themeColor="followedHyperlink"/>
      <w:u w:val="single"/>
    </w:rPr>
  </w:style>
  <w:style w:type="paragraph" w:styleId="ac">
    <w:name w:val="footer"/>
    <w:basedOn w:val="a0"/>
    <w:link w:val="ad"/>
    <w:uiPriority w:val="99"/>
    <w:unhideWhenUsed/>
    <w:qFormat/>
    <w:rsid w:val="00A4052B"/>
    <w:pPr>
      <w:tabs>
        <w:tab w:val="center" w:pos="4677"/>
        <w:tab w:val="right" w:pos="9355"/>
      </w:tabs>
    </w:pPr>
  </w:style>
  <w:style w:type="paragraph" w:styleId="ae">
    <w:name w:val="header"/>
    <w:basedOn w:val="a0"/>
    <w:link w:val="af"/>
    <w:uiPriority w:val="99"/>
    <w:unhideWhenUsed/>
    <w:qFormat/>
    <w:rsid w:val="00A4052B"/>
    <w:pPr>
      <w:tabs>
        <w:tab w:val="center" w:pos="4677"/>
        <w:tab w:val="right" w:pos="9355"/>
      </w:tabs>
    </w:pPr>
  </w:style>
  <w:style w:type="character" w:styleId="af0">
    <w:name w:val="Hyperlink"/>
    <w:basedOn w:val="a1"/>
    <w:uiPriority w:val="99"/>
    <w:unhideWhenUsed/>
    <w:qFormat/>
    <w:rsid w:val="00A4052B"/>
    <w:rPr>
      <w:color w:val="0000FF" w:themeColor="hyperlink"/>
      <w:u w:val="single"/>
    </w:rPr>
  </w:style>
  <w:style w:type="paragraph" w:styleId="af1">
    <w:name w:val="Normal (Web)"/>
    <w:basedOn w:val="a0"/>
    <w:uiPriority w:val="99"/>
    <w:unhideWhenUsed/>
    <w:qFormat/>
    <w:rsid w:val="00A4052B"/>
    <w:pPr>
      <w:spacing w:before="100" w:beforeAutospacing="1" w:after="100" w:afterAutospacing="1"/>
    </w:pPr>
  </w:style>
  <w:style w:type="character" w:styleId="af2">
    <w:name w:val="Strong"/>
    <w:basedOn w:val="a1"/>
    <w:uiPriority w:val="22"/>
    <w:qFormat/>
    <w:rsid w:val="00A4052B"/>
    <w:rPr>
      <w:b/>
      <w:bCs/>
    </w:rPr>
  </w:style>
  <w:style w:type="paragraph" w:styleId="af3">
    <w:name w:val="Subtitle"/>
    <w:basedOn w:val="a0"/>
    <w:next w:val="a0"/>
    <w:uiPriority w:val="11"/>
    <w:qFormat/>
    <w:rsid w:val="00A405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2"/>
    <w:uiPriority w:val="39"/>
    <w:qFormat/>
    <w:rsid w:val="00A4052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0"/>
    <w:next w:val="a0"/>
    <w:uiPriority w:val="10"/>
    <w:qFormat/>
    <w:rsid w:val="00A4052B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toc 1"/>
    <w:basedOn w:val="a0"/>
    <w:next w:val="a0"/>
    <w:uiPriority w:val="39"/>
    <w:unhideWhenUsed/>
    <w:qFormat/>
    <w:rsid w:val="00A4052B"/>
    <w:pPr>
      <w:spacing w:after="100"/>
    </w:pPr>
  </w:style>
  <w:style w:type="paragraph" w:styleId="20">
    <w:name w:val="toc 2"/>
    <w:basedOn w:val="a0"/>
    <w:next w:val="a0"/>
    <w:uiPriority w:val="39"/>
    <w:unhideWhenUsed/>
    <w:qFormat/>
    <w:rsid w:val="00A4052B"/>
    <w:pPr>
      <w:spacing w:after="100"/>
      <w:ind w:left="240"/>
    </w:pPr>
  </w:style>
  <w:style w:type="table" w:customStyle="1" w:styleId="TableNormal1">
    <w:name w:val="Table Normal1"/>
    <w:rsid w:val="00A405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A4052B"/>
    <w:rPr>
      <w:rFonts w:ascii="Calibri" w:eastAsia="Calibri" w:hAnsi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qFormat/>
    <w:rsid w:val="00A4052B"/>
    <w:rPr>
      <w:rFonts w:ascii="Calibri" w:eastAsia="Calibri" w:hAnsi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A4052B"/>
    <w:rPr>
      <w:rFonts w:ascii="Calibri" w:eastAsia="Calibri" w:hAnsi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paragraph" w:styleId="af6">
    <w:name w:val="List Paragraph"/>
    <w:basedOn w:val="a0"/>
    <w:link w:val="af7"/>
    <w:uiPriority w:val="34"/>
    <w:qFormat/>
    <w:rsid w:val="00A4052B"/>
    <w:pPr>
      <w:ind w:left="720"/>
      <w:contextualSpacing/>
    </w:pPr>
  </w:style>
  <w:style w:type="character" w:customStyle="1" w:styleId="a5">
    <w:name w:val="Текст выноски Знак"/>
    <w:basedOn w:val="a1"/>
    <w:link w:val="a4"/>
    <w:uiPriority w:val="99"/>
    <w:semiHidden/>
    <w:rsid w:val="00A4052B"/>
    <w:rPr>
      <w:rFonts w:ascii="Tahoma" w:hAnsi="Tahoma" w:cs="Tahoma"/>
      <w:sz w:val="16"/>
      <w:szCs w:val="16"/>
    </w:rPr>
  </w:style>
  <w:style w:type="character" w:customStyle="1" w:styleId="pop-slug-vol">
    <w:name w:val="pop-slug-vol"/>
    <w:uiPriority w:val="99"/>
    <w:qFormat/>
    <w:rsid w:val="00A4052B"/>
    <w:rPr>
      <w:rFonts w:cs="Times New Roman"/>
    </w:rPr>
  </w:style>
  <w:style w:type="character" w:customStyle="1" w:styleId="a8">
    <w:name w:val="Текст примечания Знак"/>
    <w:basedOn w:val="a1"/>
    <w:link w:val="a7"/>
    <w:rsid w:val="00A4052B"/>
    <w:rPr>
      <w:rFonts w:eastAsiaTheme="minorHAnsi" w:cstheme="minorBidi"/>
      <w:sz w:val="20"/>
      <w:szCs w:val="20"/>
      <w:lang w:eastAsia="en-US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A4052B"/>
    <w:rPr>
      <w:rFonts w:eastAsiaTheme="minorHAnsi" w:cstheme="minorBidi"/>
      <w:b/>
      <w:bCs/>
      <w:sz w:val="20"/>
      <w:szCs w:val="20"/>
      <w:lang w:eastAsia="en-US"/>
    </w:rPr>
  </w:style>
  <w:style w:type="paragraph" w:customStyle="1" w:styleId="2-6">
    <w:name w:val="Вводный текст 2-6 разделы"/>
    <w:basedOn w:val="a0"/>
    <w:link w:val="2-60"/>
    <w:qFormat/>
    <w:rsid w:val="00A4052B"/>
    <w:rPr>
      <w:rFonts w:eastAsiaTheme="minorHAnsi" w:cstheme="minorBidi"/>
      <w:lang w:eastAsia="en-US"/>
    </w:rPr>
  </w:style>
  <w:style w:type="character" w:customStyle="1" w:styleId="2-60">
    <w:name w:val="Вводный текст 2-6 разделы Знак"/>
    <w:basedOn w:val="a1"/>
    <w:link w:val="2-6"/>
    <w:rsid w:val="00A4052B"/>
    <w:rPr>
      <w:rFonts w:eastAsiaTheme="minorHAnsi" w:cstheme="minorBidi"/>
      <w:lang w:eastAsia="en-US"/>
    </w:rPr>
  </w:style>
  <w:style w:type="character" w:customStyle="1" w:styleId="af8">
    <w:name w:val="УД Знак"/>
    <w:basedOn w:val="a1"/>
    <w:qFormat/>
    <w:rsid w:val="00A4052B"/>
    <w:rPr>
      <w:rFonts w:ascii="Times New Roman" w:hAnsi="Times New Roman" w:cs="Times New Roman"/>
      <w:b/>
      <w:sz w:val="24"/>
      <w:szCs w:val="24"/>
    </w:rPr>
  </w:style>
  <w:style w:type="paragraph" w:customStyle="1" w:styleId="af9">
    <w:name w:val="Памятки"/>
    <w:basedOn w:val="a0"/>
    <w:link w:val="afa"/>
    <w:qFormat/>
    <w:rsid w:val="00A4052B"/>
    <w:rPr>
      <w:i/>
      <w:color w:val="FF0000"/>
      <w:sz w:val="18"/>
      <w:lang w:eastAsia="en-US"/>
    </w:rPr>
  </w:style>
  <w:style w:type="character" w:customStyle="1" w:styleId="afa">
    <w:name w:val="Памятки Знак"/>
    <w:basedOn w:val="a1"/>
    <w:link w:val="af9"/>
    <w:qFormat/>
    <w:rsid w:val="00A4052B"/>
    <w:rPr>
      <w:i/>
      <w:color w:val="FF0000"/>
      <w:sz w:val="18"/>
      <w:lang w:eastAsia="en-US"/>
    </w:rPr>
  </w:style>
  <w:style w:type="paragraph" w:customStyle="1" w:styleId="afb">
    <w:name w:val="Наим. раздела"/>
    <w:basedOn w:val="a0"/>
    <w:link w:val="afc"/>
    <w:qFormat/>
    <w:rsid w:val="00A4052B"/>
    <w:pPr>
      <w:keepNext/>
      <w:keepLines/>
      <w:spacing w:before="240"/>
      <w:contextualSpacing/>
      <w:jc w:val="center"/>
      <w:outlineLvl w:val="0"/>
    </w:pPr>
    <w:rPr>
      <w:rFonts w:eastAsia="Sans" w:cstheme="minorBidi"/>
      <w:b/>
      <w:sz w:val="28"/>
      <w:szCs w:val="22"/>
      <w:lang w:eastAsia="en-US"/>
    </w:rPr>
  </w:style>
  <w:style w:type="character" w:customStyle="1" w:styleId="afc">
    <w:name w:val="Наим. раздела Знак"/>
    <w:basedOn w:val="a1"/>
    <w:link w:val="afb"/>
    <w:rsid w:val="00A4052B"/>
    <w:rPr>
      <w:rFonts w:eastAsia="Sans" w:cstheme="minorBidi"/>
      <w:b/>
      <w:sz w:val="28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A4052B"/>
    <w:pPr>
      <w:keepNext/>
      <w:keepLines/>
      <w:spacing w:before="240" w:line="360" w:lineRule="auto"/>
      <w:contextualSpacing/>
      <w:jc w:val="center"/>
      <w:outlineLvl w:val="0"/>
    </w:pPr>
    <w:rPr>
      <w:rFonts w:eastAsia="Sans" w:cstheme="minorBidi"/>
      <w:b/>
      <w:sz w:val="28"/>
      <w:szCs w:val="22"/>
      <w:lang w:eastAsia="en-US"/>
    </w:rPr>
  </w:style>
  <w:style w:type="character" w:customStyle="1" w:styleId="CustomContentNormal0">
    <w:name w:val="Custom Content Normal Знак"/>
    <w:basedOn w:val="a1"/>
    <w:link w:val="CustomContentNormal"/>
    <w:rsid w:val="00A4052B"/>
    <w:rPr>
      <w:rFonts w:eastAsia="Sans" w:cstheme="minorBidi"/>
      <w:b/>
      <w:sz w:val="28"/>
      <w:szCs w:val="22"/>
      <w:lang w:eastAsia="en-US"/>
    </w:rPr>
  </w:style>
  <w:style w:type="paragraph" w:customStyle="1" w:styleId="afd">
    <w:name w:val="Содержимое врезки"/>
    <w:basedOn w:val="a0"/>
    <w:qFormat/>
    <w:rsid w:val="00A4052B"/>
    <w:rPr>
      <w:rFonts w:eastAsiaTheme="minorHAnsi" w:cstheme="minorBidi"/>
      <w:szCs w:val="22"/>
      <w:lang w:eastAsia="en-US"/>
    </w:rPr>
  </w:style>
  <w:style w:type="table" w:customStyle="1" w:styleId="13">
    <w:name w:val="Сетка таблицы1"/>
    <w:basedOn w:val="a2"/>
    <w:uiPriority w:val="59"/>
    <w:qFormat/>
    <w:rsid w:val="00A4052B"/>
    <w:rPr>
      <w:rFonts w:asciiTheme="minorHAnsi" w:eastAsia="Calibr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405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4">
    <w:name w:val="Стиль1 Знак"/>
    <w:basedOn w:val="a1"/>
    <w:qFormat/>
    <w:rsid w:val="00A4052B"/>
    <w:rPr>
      <w:rFonts w:ascii="Times New Roman" w:eastAsiaTheme="majorEastAsia" w:hAnsi="Times New Roman" w:cs="Times New Roman"/>
      <w:sz w:val="24"/>
      <w:szCs w:val="24"/>
      <w:lang w:eastAsia="ru-RU"/>
    </w:rPr>
  </w:style>
  <w:style w:type="paragraph" w:customStyle="1" w:styleId="15">
    <w:name w:val="Рецензия1"/>
    <w:hidden/>
    <w:uiPriority w:val="99"/>
    <w:semiHidden/>
    <w:qFormat/>
    <w:rsid w:val="00A4052B"/>
    <w:rPr>
      <w:sz w:val="24"/>
      <w:szCs w:val="24"/>
    </w:rPr>
  </w:style>
  <w:style w:type="paragraph" w:customStyle="1" w:styleId="16">
    <w:name w:val="Заголовок оглавления1"/>
    <w:basedOn w:val="10"/>
    <w:next w:val="a0"/>
    <w:uiPriority w:val="39"/>
    <w:semiHidden/>
    <w:unhideWhenUsed/>
    <w:qFormat/>
    <w:rsid w:val="00A4052B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customStyle="1" w:styleId="para">
    <w:name w:val="para"/>
    <w:basedOn w:val="a0"/>
    <w:qFormat/>
    <w:rsid w:val="00A4052B"/>
    <w:pPr>
      <w:spacing w:before="100" w:beforeAutospacing="1" w:after="100" w:afterAutospacing="1"/>
    </w:pPr>
  </w:style>
  <w:style w:type="paragraph" w:customStyle="1" w:styleId="1">
    <w:name w:val="Стиль1"/>
    <w:basedOn w:val="af6"/>
    <w:link w:val="110"/>
    <w:qFormat/>
    <w:rsid w:val="00A4052B"/>
    <w:pPr>
      <w:numPr>
        <w:numId w:val="1"/>
      </w:numPr>
      <w:spacing w:before="240"/>
      <w:ind w:left="709" w:hanging="425"/>
    </w:pPr>
  </w:style>
  <w:style w:type="character" w:customStyle="1" w:styleId="af7">
    <w:name w:val="Абзац списка Знак"/>
    <w:basedOn w:val="a1"/>
    <w:link w:val="af6"/>
    <w:uiPriority w:val="34"/>
    <w:qFormat/>
    <w:rsid w:val="00A4052B"/>
  </w:style>
  <w:style w:type="character" w:customStyle="1" w:styleId="110">
    <w:name w:val="Стиль1 Знак1"/>
    <w:basedOn w:val="af7"/>
    <w:link w:val="1"/>
    <w:qFormat/>
    <w:rsid w:val="00A4052B"/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A4052B"/>
    <w:rPr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qFormat/>
    <w:rsid w:val="00A4052B"/>
    <w:rPr>
      <w:sz w:val="24"/>
      <w:szCs w:val="24"/>
    </w:rPr>
  </w:style>
  <w:style w:type="character" w:customStyle="1" w:styleId="citation-doi">
    <w:name w:val="citation-doi"/>
    <w:basedOn w:val="a1"/>
    <w:qFormat/>
    <w:rsid w:val="00A4052B"/>
  </w:style>
  <w:style w:type="character" w:customStyle="1" w:styleId="apple-converted-space">
    <w:name w:val="apple-converted-space"/>
    <w:basedOn w:val="a1"/>
    <w:qFormat/>
    <w:rsid w:val="00A4052B"/>
  </w:style>
  <w:style w:type="character" w:customStyle="1" w:styleId="secondary-date">
    <w:name w:val="secondary-date"/>
    <w:basedOn w:val="a1"/>
    <w:rsid w:val="00A4052B"/>
  </w:style>
  <w:style w:type="character" w:customStyle="1" w:styleId="identifier">
    <w:name w:val="identifier"/>
    <w:basedOn w:val="a1"/>
    <w:rsid w:val="00A4052B"/>
  </w:style>
  <w:style w:type="character" w:customStyle="1" w:styleId="id-label">
    <w:name w:val="id-label"/>
    <w:basedOn w:val="a1"/>
    <w:qFormat/>
    <w:rsid w:val="00A4052B"/>
  </w:style>
  <w:style w:type="table" w:customStyle="1" w:styleId="TableGrid1">
    <w:name w:val="Table Grid1"/>
    <w:basedOn w:val="a2"/>
    <w:uiPriority w:val="39"/>
    <w:qFormat/>
    <w:rsid w:val="00A40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unhideWhenUsed/>
    <w:rsid w:val="00A4052B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Рецензия2"/>
    <w:hidden/>
    <w:uiPriority w:val="99"/>
    <w:semiHidden/>
    <w:qFormat/>
    <w:rsid w:val="00A4052B"/>
    <w:rPr>
      <w:sz w:val="24"/>
      <w:szCs w:val="24"/>
    </w:rPr>
  </w:style>
  <w:style w:type="character" w:customStyle="1" w:styleId="period">
    <w:name w:val="period"/>
    <w:basedOn w:val="a1"/>
    <w:qFormat/>
    <w:rsid w:val="00A4052B"/>
  </w:style>
  <w:style w:type="character" w:customStyle="1" w:styleId="cit">
    <w:name w:val="cit"/>
    <w:basedOn w:val="a1"/>
    <w:qFormat/>
    <w:rsid w:val="00A4052B"/>
  </w:style>
  <w:style w:type="character" w:customStyle="1" w:styleId="authors-list-item">
    <w:name w:val="authors-list-item"/>
    <w:basedOn w:val="a1"/>
    <w:rsid w:val="00A4052B"/>
  </w:style>
  <w:style w:type="character" w:customStyle="1" w:styleId="author-sup-separator">
    <w:name w:val="author-sup-separator"/>
    <w:basedOn w:val="a1"/>
    <w:qFormat/>
    <w:rsid w:val="00A4052B"/>
  </w:style>
  <w:style w:type="character" w:customStyle="1" w:styleId="comma">
    <w:name w:val="comma"/>
    <w:basedOn w:val="a1"/>
    <w:qFormat/>
    <w:rsid w:val="00A4052B"/>
  </w:style>
  <w:style w:type="character" w:customStyle="1" w:styleId="11">
    <w:name w:val="Заголовок 1 Знак"/>
    <w:basedOn w:val="a1"/>
    <w:link w:val="10"/>
    <w:uiPriority w:val="9"/>
    <w:qFormat/>
    <w:rsid w:val="00A4052B"/>
    <w:rPr>
      <w:b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uiPriority w:val="9"/>
    <w:rsid w:val="00A4052B"/>
    <w:rPr>
      <w:rFonts w:ascii="Calibri" w:eastAsia="Calibri" w:hAnsi="Calibri" w:cs="Calibri"/>
      <w:color w:val="243F61"/>
      <w:sz w:val="24"/>
      <w:szCs w:val="24"/>
    </w:rPr>
  </w:style>
  <w:style w:type="character" w:customStyle="1" w:styleId="button-label">
    <w:name w:val="button-label"/>
    <w:basedOn w:val="a1"/>
    <w:qFormat/>
    <w:rsid w:val="00A4052B"/>
  </w:style>
  <w:style w:type="paragraph" w:customStyle="1" w:styleId="heading">
    <w:name w:val="heading"/>
    <w:basedOn w:val="a0"/>
    <w:rsid w:val="00A4052B"/>
    <w:pPr>
      <w:spacing w:before="100" w:beforeAutospacing="1" w:after="100" w:afterAutospacing="1"/>
    </w:pPr>
  </w:style>
  <w:style w:type="paragraph" w:customStyle="1" w:styleId="abstract">
    <w:name w:val="abstract"/>
    <w:basedOn w:val="a0"/>
    <w:rsid w:val="00A4052B"/>
    <w:pPr>
      <w:spacing w:before="100" w:beforeAutospacing="1" w:after="100" w:afterAutospacing="1"/>
    </w:pPr>
  </w:style>
  <w:style w:type="paragraph" w:customStyle="1" w:styleId="conflict-of-interest">
    <w:name w:val="conflict-of-interest"/>
    <w:basedOn w:val="a0"/>
    <w:qFormat/>
    <w:rsid w:val="00A4052B"/>
    <w:pPr>
      <w:spacing w:before="100" w:beforeAutospacing="1" w:after="100" w:afterAutospacing="1"/>
    </w:pPr>
  </w:style>
  <w:style w:type="paragraph" w:customStyle="1" w:styleId="similar">
    <w:name w:val="similar"/>
    <w:basedOn w:val="a0"/>
    <w:qFormat/>
    <w:rsid w:val="00A4052B"/>
    <w:pPr>
      <w:spacing w:before="100" w:beforeAutospacing="1" w:after="100" w:afterAutospacing="1"/>
    </w:pPr>
  </w:style>
  <w:style w:type="paragraph" w:customStyle="1" w:styleId="citedby">
    <w:name w:val="citedby"/>
    <w:basedOn w:val="a0"/>
    <w:qFormat/>
    <w:rsid w:val="00A4052B"/>
    <w:pPr>
      <w:spacing w:before="100" w:beforeAutospacing="1" w:after="100" w:afterAutospacing="1"/>
    </w:pPr>
  </w:style>
  <w:style w:type="paragraph" w:customStyle="1" w:styleId="references">
    <w:name w:val="references"/>
    <w:basedOn w:val="a0"/>
    <w:rsid w:val="00A4052B"/>
    <w:pPr>
      <w:spacing w:before="100" w:beforeAutospacing="1" w:after="100" w:afterAutospacing="1"/>
    </w:pPr>
  </w:style>
  <w:style w:type="paragraph" w:customStyle="1" w:styleId="publication-types">
    <w:name w:val="publication-types"/>
    <w:basedOn w:val="a0"/>
    <w:qFormat/>
    <w:rsid w:val="00A4052B"/>
    <w:pPr>
      <w:spacing w:before="100" w:beforeAutospacing="1" w:after="100" w:afterAutospacing="1"/>
    </w:pPr>
  </w:style>
  <w:style w:type="paragraph" w:customStyle="1" w:styleId="mesh-terms">
    <w:name w:val="mesh-terms"/>
    <w:basedOn w:val="a0"/>
    <w:rsid w:val="00A4052B"/>
    <w:pPr>
      <w:spacing w:before="100" w:beforeAutospacing="1" w:after="100" w:afterAutospacing="1"/>
    </w:pPr>
  </w:style>
  <w:style w:type="paragraph" w:customStyle="1" w:styleId="related-links">
    <w:name w:val="related-links"/>
    <w:basedOn w:val="a0"/>
    <w:qFormat/>
    <w:rsid w:val="00A4052B"/>
    <w:pPr>
      <w:spacing w:before="100" w:beforeAutospacing="1" w:after="100" w:afterAutospacing="1"/>
    </w:pPr>
  </w:style>
  <w:style w:type="paragraph" w:customStyle="1" w:styleId="linkout">
    <w:name w:val="linkout"/>
    <w:basedOn w:val="a0"/>
    <w:qFormat/>
    <w:rsid w:val="00A4052B"/>
    <w:pPr>
      <w:spacing w:before="100" w:beforeAutospacing="1" w:after="100" w:afterAutospacing="1"/>
    </w:pPr>
  </w:style>
  <w:style w:type="paragraph" w:customStyle="1" w:styleId="linked-correction-forward">
    <w:name w:val="linked-correction-forward"/>
    <w:basedOn w:val="a0"/>
    <w:rsid w:val="00A4052B"/>
    <w:pPr>
      <w:spacing w:before="100" w:beforeAutospacing="1" w:after="100" w:afterAutospacing="1"/>
    </w:pPr>
  </w:style>
  <w:style w:type="paragraph" w:customStyle="1" w:styleId="substances">
    <w:name w:val="substances"/>
    <w:basedOn w:val="a0"/>
    <w:qFormat/>
    <w:rsid w:val="00A4052B"/>
    <w:pPr>
      <w:spacing w:before="100" w:beforeAutospacing="1" w:after="100" w:afterAutospacing="1"/>
    </w:pPr>
  </w:style>
  <w:style w:type="paragraph" w:styleId="afe">
    <w:name w:val="Revision"/>
    <w:hidden/>
    <w:uiPriority w:val="99"/>
    <w:semiHidden/>
    <w:rsid w:val="00425BE6"/>
    <w:rPr>
      <w:rFonts w:eastAsia="Times New Roman"/>
      <w:sz w:val="24"/>
      <w:szCs w:val="24"/>
    </w:rPr>
  </w:style>
  <w:style w:type="paragraph" w:styleId="aff">
    <w:name w:val="Body Text"/>
    <w:basedOn w:val="a0"/>
    <w:link w:val="aff0"/>
    <w:uiPriority w:val="1"/>
    <w:qFormat/>
    <w:rsid w:val="00837091"/>
    <w:pPr>
      <w:spacing w:after="90" w:line="377" w:lineRule="auto"/>
      <w:ind w:left="374" w:right="119" w:hanging="11"/>
      <w:jc w:val="both"/>
    </w:pPr>
    <w:rPr>
      <w:color w:val="000000"/>
      <w:szCs w:val="22"/>
      <w:lang w:eastAsia="en-US"/>
    </w:rPr>
  </w:style>
  <w:style w:type="character" w:customStyle="1" w:styleId="aff0">
    <w:name w:val="Основной текст Знак"/>
    <w:basedOn w:val="a1"/>
    <w:link w:val="aff"/>
    <w:uiPriority w:val="1"/>
    <w:rsid w:val="00837091"/>
    <w:rPr>
      <w:rFonts w:eastAsia="Times New Roman"/>
      <w:color w:val="000000"/>
      <w:sz w:val="24"/>
      <w:szCs w:val="22"/>
      <w:lang w:eastAsia="en-US"/>
    </w:rPr>
  </w:style>
  <w:style w:type="paragraph" w:customStyle="1" w:styleId="a">
    <w:name w:val="пункты"/>
    <w:basedOn w:val="a0"/>
    <w:link w:val="aff1"/>
    <w:qFormat/>
    <w:rsid w:val="00837091"/>
    <w:pPr>
      <w:numPr>
        <w:numId w:val="5"/>
      </w:numPr>
      <w:tabs>
        <w:tab w:val="left" w:pos="284"/>
      </w:tabs>
      <w:spacing w:line="360" w:lineRule="auto"/>
      <w:ind w:left="0" w:right="-9"/>
      <w:jc w:val="both"/>
    </w:pPr>
    <w:rPr>
      <w:color w:val="000000"/>
      <w:szCs w:val="22"/>
      <w:lang w:eastAsia="en-US"/>
    </w:rPr>
  </w:style>
  <w:style w:type="paragraph" w:customStyle="1" w:styleId="aff2">
    <w:name w:val="Комментарий"/>
    <w:basedOn w:val="a0"/>
    <w:link w:val="aff3"/>
    <w:qFormat/>
    <w:rsid w:val="00837091"/>
    <w:pPr>
      <w:spacing w:before="120" w:after="120" w:line="360" w:lineRule="auto"/>
      <w:jc w:val="both"/>
    </w:pPr>
    <w:rPr>
      <w:bCs/>
      <w:i/>
      <w:iCs/>
      <w:color w:val="000000"/>
      <w:szCs w:val="22"/>
      <w:lang w:eastAsia="en-US"/>
    </w:rPr>
  </w:style>
  <w:style w:type="character" w:customStyle="1" w:styleId="aff1">
    <w:name w:val="пункты Знак"/>
    <w:link w:val="a"/>
    <w:rsid w:val="00837091"/>
    <w:rPr>
      <w:rFonts w:eastAsia="Times New Roman"/>
      <w:color w:val="000000"/>
      <w:sz w:val="24"/>
      <w:szCs w:val="22"/>
      <w:lang w:eastAsia="en-US"/>
    </w:rPr>
  </w:style>
  <w:style w:type="character" w:customStyle="1" w:styleId="aff3">
    <w:name w:val="Комментарий Знак"/>
    <w:link w:val="aff2"/>
    <w:rsid w:val="00837091"/>
    <w:rPr>
      <w:rFonts w:eastAsia="Times New Roman"/>
      <w:bCs/>
      <w:i/>
      <w:iCs/>
      <w:color w:val="000000"/>
      <w:sz w:val="24"/>
      <w:szCs w:val="22"/>
      <w:lang w:eastAsia="en-US"/>
    </w:rPr>
  </w:style>
  <w:style w:type="character" w:customStyle="1" w:styleId="22">
    <w:name w:val="Основной текст (2)_"/>
    <w:basedOn w:val="a1"/>
    <w:link w:val="23"/>
    <w:rsid w:val="00ED0B40"/>
    <w:rPr>
      <w:rFonts w:eastAsia="Times New Roman"/>
      <w:sz w:val="22"/>
      <w:szCs w:val="22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ED0B4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ED0B40"/>
    <w:pPr>
      <w:widowControl w:val="0"/>
      <w:shd w:val="clear" w:color="auto" w:fill="FFFFFF"/>
      <w:spacing w:line="250" w:lineRule="exact"/>
      <w:ind w:hanging="360"/>
      <w:jc w:val="right"/>
    </w:pPr>
    <w:rPr>
      <w:sz w:val="22"/>
      <w:szCs w:val="22"/>
    </w:rPr>
  </w:style>
  <w:style w:type="character" w:customStyle="1" w:styleId="50">
    <w:name w:val="Основной текст (5)_"/>
    <w:basedOn w:val="a1"/>
    <w:link w:val="51"/>
    <w:rsid w:val="00FC32CA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FC32CA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0"/>
    <w:link w:val="50"/>
    <w:rsid w:val="00FC32CA"/>
    <w:pPr>
      <w:widowControl w:val="0"/>
      <w:shd w:val="clear" w:color="auto" w:fill="FFFFFF"/>
      <w:spacing w:line="413" w:lineRule="exact"/>
      <w:ind w:firstLine="460"/>
      <w:jc w:val="both"/>
    </w:pPr>
    <w:rPr>
      <w:b/>
      <w:bCs/>
      <w:sz w:val="22"/>
      <w:szCs w:val="22"/>
    </w:rPr>
  </w:style>
  <w:style w:type="character" w:customStyle="1" w:styleId="7">
    <w:name w:val="Основной текст (7)_"/>
    <w:basedOn w:val="a1"/>
    <w:link w:val="70"/>
    <w:rsid w:val="00C777C2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 + Полужирный"/>
    <w:basedOn w:val="7"/>
    <w:rsid w:val="00C777C2"/>
    <w:rPr>
      <w:rFonts w:eastAsia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C777C2"/>
    <w:pPr>
      <w:widowControl w:val="0"/>
      <w:shd w:val="clear" w:color="auto" w:fill="FFFFFF"/>
      <w:spacing w:line="413" w:lineRule="exact"/>
      <w:jc w:val="both"/>
    </w:pPr>
    <w:rPr>
      <w:i/>
      <w:iCs/>
      <w:sz w:val="23"/>
      <w:szCs w:val="23"/>
    </w:rPr>
  </w:style>
  <w:style w:type="character" w:customStyle="1" w:styleId="2115pt">
    <w:name w:val="Основной текст (2) + 11;5 pt;Курсив"/>
    <w:basedOn w:val="22"/>
    <w:rsid w:val="001D5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711pt">
    <w:name w:val="Основной текст (7) + 11 pt;Не курсив"/>
    <w:basedOn w:val="7"/>
    <w:rsid w:val="001D5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1"/>
    <w:link w:val="26"/>
    <w:rsid w:val="001D51EE"/>
    <w:rPr>
      <w:rFonts w:ascii="Cambria" w:eastAsia="Cambria" w:hAnsi="Cambria" w:cs="Cambria"/>
      <w:b/>
      <w:bCs/>
      <w:i/>
      <w:iCs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1"/>
    <w:link w:val="61"/>
    <w:rsid w:val="001D51EE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26">
    <w:name w:val="Заголовок №2"/>
    <w:basedOn w:val="a0"/>
    <w:link w:val="25"/>
    <w:rsid w:val="001D51EE"/>
    <w:pPr>
      <w:widowControl w:val="0"/>
      <w:shd w:val="clear" w:color="auto" w:fill="FFFFFF"/>
      <w:spacing w:line="490" w:lineRule="exact"/>
      <w:ind w:firstLine="460"/>
      <w:jc w:val="both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61">
    <w:name w:val="Основной текст (6)"/>
    <w:basedOn w:val="a0"/>
    <w:link w:val="60"/>
    <w:rsid w:val="001D51EE"/>
    <w:pPr>
      <w:widowControl w:val="0"/>
      <w:shd w:val="clear" w:color="auto" w:fill="FFFFFF"/>
      <w:spacing w:line="413" w:lineRule="exact"/>
      <w:jc w:val="both"/>
    </w:pPr>
    <w:rPr>
      <w:b/>
      <w:bCs/>
      <w:i/>
      <w:iCs/>
      <w:sz w:val="23"/>
      <w:szCs w:val="23"/>
    </w:rPr>
  </w:style>
  <w:style w:type="character" w:styleId="aff4">
    <w:name w:val="Emphasis"/>
    <w:basedOn w:val="a1"/>
    <w:uiPriority w:val="20"/>
    <w:qFormat/>
    <w:rsid w:val="001D51EE"/>
    <w:rPr>
      <w:i/>
      <w:iCs/>
    </w:rPr>
  </w:style>
  <w:style w:type="character" w:customStyle="1" w:styleId="2Corbel115pt">
    <w:name w:val="Основной текст (2) + Corbel;11;5 pt"/>
    <w:basedOn w:val="22"/>
    <w:rsid w:val="006E168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357B1C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F830BF"/>
    <w:rPr>
      <w:color w:val="605E5C"/>
      <w:shd w:val="clear" w:color="auto" w:fill="E1DFDD"/>
    </w:rPr>
  </w:style>
  <w:style w:type="character" w:customStyle="1" w:styleId="uv3um">
    <w:name w:val="uv3um"/>
    <w:basedOn w:val="a1"/>
    <w:rsid w:val="00C147F2"/>
  </w:style>
  <w:style w:type="character" w:styleId="aff5">
    <w:name w:val="Unresolved Mention"/>
    <w:basedOn w:val="a1"/>
    <w:uiPriority w:val="99"/>
    <w:semiHidden/>
    <w:unhideWhenUsed/>
    <w:rsid w:val="0061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291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9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1979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5612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6339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40378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8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76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66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7777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9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3045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903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7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9388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53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57315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5834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2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r.rosminzdrav,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x.doi.org/10.13105/wjma.v3.i2.9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2A3B3-995C-4C2D-BBE6-3FF4A1AC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15959</Words>
  <Characters>90967</Characters>
  <Application>Microsoft Office Word</Application>
  <DocSecurity>0</DocSecurity>
  <Lines>758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Оловянный Владимир Евгеньевич</cp:lastModifiedBy>
  <cp:revision>2</cp:revision>
  <cp:lastPrinted>2024-09-28T09:42:00Z</cp:lastPrinted>
  <dcterms:created xsi:type="dcterms:W3CDTF">2025-06-11T12:23:00Z</dcterms:created>
  <dcterms:modified xsi:type="dcterms:W3CDTF">2025-06-11T12:23:00Z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85840C2E763A44788FE6BA4D2CA85FF1</vt:lpwstr>
  </property>
</Properties>
</file>